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46CB" w14:textId="63B24D16" w:rsidR="00075DB0" w:rsidRDefault="00075DB0" w:rsidP="009F204B">
      <w:pPr>
        <w:tabs>
          <w:tab w:val="left" w:pos="1395"/>
        </w:tabs>
        <w:suppressAutoHyphens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</w:p>
    <w:p w14:paraId="2B66F2E9" w14:textId="473E419A" w:rsidR="00075DB0" w:rsidRDefault="00FD0823" w:rsidP="00075DB0">
      <w:pPr>
        <w:suppressAutoHyphens/>
        <w:spacing w:after="0" w:line="240" w:lineRule="auto"/>
        <w:rPr>
          <w:rFonts w:ascii="Calibri" w:eastAsia="Calibri" w:hAnsi="Calibri" w:cs="Times New Roman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A678E9B" wp14:editId="31D6AC19">
            <wp:extent cx="8832850" cy="108585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CC7F2" w14:textId="77777777" w:rsidR="00075DB0" w:rsidRPr="005335FE" w:rsidRDefault="00075DB0" w:rsidP="00075DB0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2D5105E" w14:textId="713A3669" w:rsidR="000F35EC" w:rsidRPr="005335FE" w:rsidRDefault="002D566F" w:rsidP="002D566F">
      <w:pPr>
        <w:spacing w:after="0" w:line="276" w:lineRule="auto"/>
        <w:jc w:val="right"/>
        <w:rPr>
          <w:rFonts w:ascii="Arial" w:hAnsi="Arial" w:cs="Arial"/>
          <w:bCs/>
          <w:sz w:val="24"/>
          <w:szCs w:val="24"/>
        </w:rPr>
      </w:pPr>
      <w:r w:rsidRPr="005335FE">
        <w:rPr>
          <w:rFonts w:ascii="Arial" w:hAnsi="Arial" w:cs="Arial"/>
          <w:bCs/>
          <w:sz w:val="24"/>
          <w:szCs w:val="24"/>
        </w:rPr>
        <w:t xml:space="preserve">Załącznik nr 6 do ogłoszenia o naborze wniosków nr </w:t>
      </w:r>
      <w:r w:rsidR="005138CE">
        <w:rPr>
          <w:rFonts w:ascii="Arial" w:hAnsi="Arial" w:cs="Arial"/>
          <w:bCs/>
          <w:sz w:val="24"/>
          <w:szCs w:val="24"/>
        </w:rPr>
        <w:t>1</w:t>
      </w:r>
      <w:r w:rsidRPr="005335FE">
        <w:rPr>
          <w:rFonts w:ascii="Arial" w:hAnsi="Arial" w:cs="Arial"/>
          <w:bCs/>
          <w:sz w:val="24"/>
          <w:szCs w:val="24"/>
        </w:rPr>
        <w:t>/2025/EFS+/07.02</w:t>
      </w:r>
    </w:p>
    <w:p w14:paraId="33A05B17" w14:textId="77777777" w:rsidR="002D566F" w:rsidRPr="005335FE" w:rsidRDefault="002D566F" w:rsidP="002D566F">
      <w:pPr>
        <w:spacing w:after="0" w:line="276" w:lineRule="auto"/>
        <w:jc w:val="right"/>
        <w:rPr>
          <w:rFonts w:ascii="Arial" w:hAnsi="Arial" w:cs="Arial"/>
          <w:bCs/>
          <w:sz w:val="24"/>
          <w:szCs w:val="24"/>
        </w:rPr>
      </w:pPr>
    </w:p>
    <w:p w14:paraId="579DB067" w14:textId="57854086" w:rsidR="002D566F" w:rsidRPr="005335FE" w:rsidRDefault="000F35EC" w:rsidP="0035515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335FE">
        <w:rPr>
          <w:rFonts w:ascii="Arial" w:hAnsi="Arial" w:cs="Arial"/>
          <w:bCs/>
          <w:sz w:val="24"/>
          <w:szCs w:val="24"/>
        </w:rPr>
        <w:t>Cz. I.  Ogólne zasady konstruowania budżetu</w:t>
      </w:r>
    </w:p>
    <w:p w14:paraId="5E26BE98" w14:textId="77777777" w:rsidR="002F0433" w:rsidRPr="005335FE" w:rsidRDefault="002F0433" w:rsidP="0035515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CD4F1E4" w14:textId="421C70EA" w:rsidR="000F35EC" w:rsidRPr="005335FE" w:rsidRDefault="00D973A8" w:rsidP="0035515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335FE">
        <w:rPr>
          <w:rFonts w:ascii="Arial" w:hAnsi="Arial" w:cs="Arial"/>
          <w:b/>
          <w:sz w:val="24"/>
          <w:szCs w:val="24"/>
        </w:rPr>
        <w:t xml:space="preserve">- </w:t>
      </w:r>
      <w:r w:rsidRPr="005335FE">
        <w:rPr>
          <w:rFonts w:ascii="Arial" w:hAnsi="Arial" w:cs="Arial"/>
          <w:bCs/>
          <w:sz w:val="24"/>
          <w:szCs w:val="24"/>
        </w:rPr>
        <w:t xml:space="preserve">budżet </w:t>
      </w:r>
      <w:r w:rsidR="006C4F24" w:rsidRPr="005335FE">
        <w:rPr>
          <w:rFonts w:ascii="Arial" w:hAnsi="Arial" w:cs="Arial"/>
          <w:bCs/>
          <w:sz w:val="24"/>
          <w:szCs w:val="24"/>
        </w:rPr>
        <w:t xml:space="preserve">projektu </w:t>
      </w:r>
      <w:r w:rsidRPr="005335FE">
        <w:rPr>
          <w:rFonts w:ascii="Arial" w:hAnsi="Arial" w:cs="Arial"/>
          <w:bCs/>
          <w:sz w:val="24"/>
          <w:szCs w:val="24"/>
        </w:rPr>
        <w:t>powinien być racjonalny a zaplanowane wydatki niezbędne do realizacji zadań oraz zgodne z przepisami</w:t>
      </w:r>
      <w:r w:rsidR="003D0EED" w:rsidRPr="005335FE">
        <w:rPr>
          <w:rFonts w:ascii="Arial" w:hAnsi="Arial" w:cs="Arial"/>
          <w:bCs/>
          <w:sz w:val="24"/>
          <w:szCs w:val="24"/>
        </w:rPr>
        <w:t xml:space="preserve"> obowiązującymi w danym naborze i wynikać z opisanego zadania merytorycznego;</w:t>
      </w:r>
    </w:p>
    <w:p w14:paraId="10F2360F" w14:textId="1D5B7F42" w:rsidR="00D973A8" w:rsidRPr="005335FE" w:rsidRDefault="00D973A8" w:rsidP="0035515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335FE">
        <w:rPr>
          <w:rFonts w:ascii="Arial" w:hAnsi="Arial" w:cs="Arial"/>
          <w:bCs/>
          <w:sz w:val="24"/>
          <w:szCs w:val="24"/>
        </w:rPr>
        <w:t xml:space="preserve">- należy zaplanować tylko wydatki niezbędne </w:t>
      </w:r>
      <w:r w:rsidR="003D0EED" w:rsidRPr="005335FE">
        <w:rPr>
          <w:rFonts w:ascii="Arial" w:hAnsi="Arial" w:cs="Arial"/>
          <w:bCs/>
          <w:sz w:val="24"/>
          <w:szCs w:val="24"/>
        </w:rPr>
        <w:t xml:space="preserve">(kwalifikowalne) </w:t>
      </w:r>
      <w:r w:rsidRPr="005335FE">
        <w:rPr>
          <w:rFonts w:ascii="Arial" w:hAnsi="Arial" w:cs="Arial"/>
          <w:bCs/>
          <w:sz w:val="24"/>
          <w:szCs w:val="24"/>
        </w:rPr>
        <w:t>do realizacji poszczególnych działań zaplanowanych dla uczestników projektu i przyczyniające się do osiągnięcia założonych celów</w:t>
      </w:r>
      <w:r w:rsidR="006C4F24" w:rsidRPr="005335FE">
        <w:rPr>
          <w:rFonts w:ascii="Arial" w:hAnsi="Arial" w:cs="Arial"/>
          <w:bCs/>
          <w:sz w:val="24"/>
          <w:szCs w:val="24"/>
        </w:rPr>
        <w:t>, wskaźników</w:t>
      </w:r>
      <w:r w:rsidRPr="005335FE">
        <w:rPr>
          <w:rFonts w:ascii="Arial" w:hAnsi="Arial" w:cs="Arial"/>
          <w:bCs/>
          <w:sz w:val="24"/>
          <w:szCs w:val="24"/>
        </w:rPr>
        <w:t>, które należy czytelnie uzasadnić;</w:t>
      </w:r>
    </w:p>
    <w:p w14:paraId="015B78A0" w14:textId="248DE63D" w:rsidR="003D0EED" w:rsidRPr="005335FE" w:rsidRDefault="003D0EED" w:rsidP="0035515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335FE">
        <w:rPr>
          <w:rFonts w:ascii="Arial" w:hAnsi="Arial" w:cs="Arial"/>
          <w:bCs/>
          <w:sz w:val="24"/>
          <w:szCs w:val="24"/>
        </w:rPr>
        <w:t xml:space="preserve">- tworząc budżet projektu, należy pamiętać o podstawowych zasadach kwalifikowalności, tj. niezbędności, racjonalności i efektywności wydatków. Przez niezbędność </w:t>
      </w:r>
      <w:r w:rsidR="00F74C1B" w:rsidRPr="005335FE">
        <w:rPr>
          <w:rFonts w:ascii="Arial" w:hAnsi="Arial" w:cs="Arial"/>
          <w:bCs/>
          <w:sz w:val="24"/>
          <w:szCs w:val="24"/>
        </w:rPr>
        <w:t>rozumie się ujmowanie w budżecie kosztów koniecznych do osiągnięcia celu projektu</w:t>
      </w:r>
      <w:r w:rsidR="006C4F24" w:rsidRPr="005335FE">
        <w:rPr>
          <w:rFonts w:ascii="Arial" w:hAnsi="Arial" w:cs="Arial"/>
          <w:bCs/>
          <w:sz w:val="24"/>
          <w:szCs w:val="24"/>
        </w:rPr>
        <w:t>, wskaźników</w:t>
      </w:r>
      <w:r w:rsidR="00F74C1B" w:rsidRPr="005335FE">
        <w:rPr>
          <w:rFonts w:ascii="Arial" w:hAnsi="Arial" w:cs="Arial"/>
          <w:bCs/>
          <w:sz w:val="24"/>
          <w:szCs w:val="24"/>
        </w:rPr>
        <w:t>. Efektywność dotyczy uzyskiwania jak najlepszych efek</w:t>
      </w:r>
      <w:r w:rsidR="006C4F24" w:rsidRPr="005335FE">
        <w:rPr>
          <w:rFonts w:ascii="Arial" w:hAnsi="Arial" w:cs="Arial"/>
          <w:bCs/>
          <w:sz w:val="24"/>
          <w:szCs w:val="24"/>
        </w:rPr>
        <w:t>tów przy danym poziomie kosztów</w:t>
      </w:r>
      <w:r w:rsidR="00F74C1B" w:rsidRPr="005335FE">
        <w:rPr>
          <w:rFonts w:ascii="Arial" w:hAnsi="Arial" w:cs="Arial"/>
          <w:bCs/>
          <w:sz w:val="24"/>
          <w:szCs w:val="24"/>
        </w:rPr>
        <w:t>. Racjonalność odnosi się do zapewnienia zgodności ze stawkami rynkowymi nie tylko pojedynczych wydatków wykazanych w szczegółowym budżecie projektu, ale również do łącznej wartości usług realizowanych w ramach projektu;</w:t>
      </w:r>
    </w:p>
    <w:p w14:paraId="6E6E1672" w14:textId="6F387B52" w:rsidR="00D973A8" w:rsidRPr="005335FE" w:rsidRDefault="00D973A8" w:rsidP="0035515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335FE">
        <w:rPr>
          <w:rFonts w:ascii="Arial" w:hAnsi="Arial" w:cs="Arial"/>
          <w:bCs/>
          <w:sz w:val="24"/>
          <w:szCs w:val="24"/>
        </w:rPr>
        <w:t xml:space="preserve">- wydatki winny </w:t>
      </w:r>
      <w:r w:rsidR="00254DFD" w:rsidRPr="005335FE">
        <w:rPr>
          <w:rFonts w:ascii="Arial" w:hAnsi="Arial" w:cs="Arial"/>
          <w:bCs/>
          <w:sz w:val="24"/>
          <w:szCs w:val="24"/>
        </w:rPr>
        <w:t>być zgodne ze standardami określonymi poniżej, a w przypadku braku uwzględnienia w niniejszym standardzie zgodne z cenami rynkowymi towarów i usług</w:t>
      </w:r>
      <w:r w:rsidR="007C5B19" w:rsidRPr="005335FE">
        <w:rPr>
          <w:rFonts w:ascii="Arial" w:hAnsi="Arial" w:cs="Arial"/>
          <w:bCs/>
          <w:sz w:val="24"/>
          <w:szCs w:val="24"/>
        </w:rPr>
        <w:t>, które należy uzasadnić poprzez dołączenie dokumentu poświadczającego przyjęty poziom cen</w:t>
      </w:r>
      <w:r w:rsidR="00254DFD" w:rsidRPr="005335FE">
        <w:rPr>
          <w:rFonts w:ascii="Arial" w:hAnsi="Arial" w:cs="Arial"/>
          <w:bCs/>
          <w:sz w:val="24"/>
          <w:szCs w:val="24"/>
        </w:rPr>
        <w:t>;</w:t>
      </w:r>
    </w:p>
    <w:p w14:paraId="38144309" w14:textId="72C669FB" w:rsidR="002F0433" w:rsidRPr="005335FE" w:rsidRDefault="002F0433" w:rsidP="0035515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335FE">
        <w:rPr>
          <w:rFonts w:ascii="Arial" w:hAnsi="Arial" w:cs="Arial"/>
          <w:bCs/>
          <w:sz w:val="24"/>
          <w:szCs w:val="24"/>
        </w:rPr>
        <w:t>- budżet szczegółowy</w:t>
      </w:r>
      <w:r w:rsidR="006C4F24" w:rsidRPr="005335FE">
        <w:rPr>
          <w:rFonts w:ascii="Arial" w:hAnsi="Arial" w:cs="Arial"/>
          <w:bCs/>
          <w:sz w:val="24"/>
          <w:szCs w:val="24"/>
        </w:rPr>
        <w:t xml:space="preserve"> projektu</w:t>
      </w:r>
      <w:r w:rsidRPr="005335FE">
        <w:rPr>
          <w:rFonts w:ascii="Arial" w:hAnsi="Arial" w:cs="Arial"/>
          <w:bCs/>
          <w:sz w:val="24"/>
          <w:szCs w:val="24"/>
        </w:rPr>
        <w:t xml:space="preserve"> powinien być przygotowany oddzielnie dla każdego zadania merytorycznego i zarządzania projektem;</w:t>
      </w:r>
    </w:p>
    <w:p w14:paraId="5FD3E150" w14:textId="4D47FFA2" w:rsidR="003D0EED" w:rsidRPr="005335FE" w:rsidRDefault="003D0EED" w:rsidP="0035515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335FE">
        <w:rPr>
          <w:rFonts w:ascii="Arial" w:hAnsi="Arial" w:cs="Arial"/>
          <w:bCs/>
          <w:sz w:val="24"/>
          <w:szCs w:val="24"/>
        </w:rPr>
        <w:t>- koszty całkowite to suma kosztów mer</w:t>
      </w:r>
      <w:r w:rsidR="00F74C1B" w:rsidRPr="005335FE">
        <w:rPr>
          <w:rFonts w:ascii="Arial" w:hAnsi="Arial" w:cs="Arial"/>
          <w:bCs/>
          <w:sz w:val="24"/>
          <w:szCs w:val="24"/>
        </w:rPr>
        <w:t>ytorycznych</w:t>
      </w:r>
      <w:r w:rsidR="00822358" w:rsidRPr="005335FE">
        <w:rPr>
          <w:rFonts w:ascii="Arial" w:hAnsi="Arial" w:cs="Arial"/>
          <w:bCs/>
          <w:sz w:val="24"/>
          <w:szCs w:val="24"/>
        </w:rPr>
        <w:t xml:space="preserve"> ( bezpośrednio wynikających z realizowanych zadań i ilości uczestników) </w:t>
      </w:r>
      <w:r w:rsidR="00F74C1B" w:rsidRPr="005335FE">
        <w:rPr>
          <w:rFonts w:ascii="Arial" w:hAnsi="Arial" w:cs="Arial"/>
          <w:bCs/>
          <w:sz w:val="24"/>
          <w:szCs w:val="24"/>
        </w:rPr>
        <w:t xml:space="preserve"> i administracyjnych</w:t>
      </w:r>
      <w:r w:rsidR="00822358" w:rsidRPr="005335FE">
        <w:rPr>
          <w:rFonts w:ascii="Arial" w:hAnsi="Arial" w:cs="Arial"/>
          <w:bCs/>
          <w:sz w:val="24"/>
          <w:szCs w:val="24"/>
        </w:rPr>
        <w:t xml:space="preserve"> ( koszty personelu, koszty funkcjonowania biura, koszty działań informacyjno-promocyjnych projektu</w:t>
      </w:r>
      <w:r w:rsidR="002F0433" w:rsidRPr="005335FE">
        <w:rPr>
          <w:rFonts w:ascii="Arial" w:hAnsi="Arial" w:cs="Arial"/>
          <w:bCs/>
          <w:sz w:val="24"/>
          <w:szCs w:val="24"/>
        </w:rPr>
        <w:t>, koszty rekrutacji</w:t>
      </w:r>
      <w:r w:rsidR="00822358" w:rsidRPr="005335FE">
        <w:rPr>
          <w:rFonts w:ascii="Arial" w:hAnsi="Arial" w:cs="Arial"/>
          <w:bCs/>
          <w:sz w:val="24"/>
          <w:szCs w:val="24"/>
        </w:rPr>
        <w:t>)</w:t>
      </w:r>
      <w:r w:rsidR="00F74C1B" w:rsidRPr="005335FE">
        <w:rPr>
          <w:rFonts w:ascii="Arial" w:hAnsi="Arial" w:cs="Arial"/>
          <w:bCs/>
          <w:sz w:val="24"/>
          <w:szCs w:val="24"/>
        </w:rPr>
        <w:t>;</w:t>
      </w:r>
    </w:p>
    <w:p w14:paraId="2CD05034" w14:textId="6610440A" w:rsidR="00557619" w:rsidRPr="005335FE" w:rsidRDefault="00557619" w:rsidP="0035515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335FE">
        <w:rPr>
          <w:rFonts w:ascii="Arial" w:hAnsi="Arial" w:cs="Arial"/>
          <w:bCs/>
          <w:sz w:val="24"/>
          <w:szCs w:val="24"/>
        </w:rPr>
        <w:t>- LGD zaleca, aby wydatki w budżecie był</w:t>
      </w:r>
      <w:r w:rsidR="00773E73" w:rsidRPr="005335FE">
        <w:rPr>
          <w:rFonts w:ascii="Arial" w:hAnsi="Arial" w:cs="Arial"/>
          <w:bCs/>
          <w:sz w:val="24"/>
          <w:szCs w:val="24"/>
        </w:rPr>
        <w:t>y grupowane w 5 – 6 zadań, a w pozycji „Nazwa kosztu” Grantobiorca wpi</w:t>
      </w:r>
      <w:r w:rsidRPr="005335FE">
        <w:rPr>
          <w:rFonts w:ascii="Arial" w:hAnsi="Arial" w:cs="Arial"/>
          <w:bCs/>
          <w:sz w:val="24"/>
          <w:szCs w:val="24"/>
        </w:rPr>
        <w:t xml:space="preserve">suje wszystkie </w:t>
      </w:r>
      <w:r w:rsidR="00773E73" w:rsidRPr="005335FE">
        <w:rPr>
          <w:rFonts w:ascii="Arial" w:hAnsi="Arial" w:cs="Arial"/>
          <w:bCs/>
          <w:sz w:val="24"/>
          <w:szCs w:val="24"/>
        </w:rPr>
        <w:t>rodzaje kosztów</w:t>
      </w:r>
      <w:r w:rsidRPr="005335FE">
        <w:rPr>
          <w:rFonts w:ascii="Arial" w:hAnsi="Arial" w:cs="Arial"/>
          <w:bCs/>
          <w:sz w:val="24"/>
          <w:szCs w:val="24"/>
        </w:rPr>
        <w:t>, które mieszczą się w danym zadaniu, tzn. nie ujmować w osobnych pozycjach budżetowych wydatków, które można uwzględnić w budżecie w ramach wydatku o charakterze zbiorczym;</w:t>
      </w:r>
    </w:p>
    <w:p w14:paraId="2B3C8D03" w14:textId="0FF25910" w:rsidR="00557619" w:rsidRPr="005335FE" w:rsidRDefault="00F74C1B" w:rsidP="0035515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335FE">
        <w:rPr>
          <w:rFonts w:ascii="Arial" w:hAnsi="Arial" w:cs="Arial"/>
          <w:bCs/>
          <w:sz w:val="24"/>
          <w:szCs w:val="24"/>
        </w:rPr>
        <w:t>- wszystkie kwoty w szczegółowym budżecie należy podawać w złotych, do dwóch miejsc po przecinku;</w:t>
      </w:r>
    </w:p>
    <w:p w14:paraId="4A7816FE" w14:textId="77777777" w:rsidR="005335FE" w:rsidRDefault="005335FE" w:rsidP="0035515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6186F1B" w14:textId="77777777" w:rsidR="005335FE" w:rsidRDefault="005335FE" w:rsidP="0035515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01ED48BD" w14:textId="426B222B" w:rsidR="009F204B" w:rsidRPr="005335FE" w:rsidRDefault="00F74C1B" w:rsidP="0035515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335FE">
        <w:rPr>
          <w:rFonts w:ascii="Arial" w:hAnsi="Arial" w:cs="Arial"/>
          <w:bCs/>
          <w:sz w:val="24"/>
          <w:szCs w:val="24"/>
        </w:rPr>
        <w:t>- w budżecie w polu „Nazwa kosztu” należy nazwać pojedyncze koszty ( np. wynagrodzenie trenera/instruktora, materiał</w:t>
      </w:r>
      <w:r w:rsidR="001826ED" w:rsidRPr="005335FE">
        <w:rPr>
          <w:rFonts w:ascii="Arial" w:hAnsi="Arial" w:cs="Arial"/>
          <w:bCs/>
          <w:sz w:val="24"/>
          <w:szCs w:val="24"/>
        </w:rPr>
        <w:t>y na warsztaty</w:t>
      </w:r>
      <w:r w:rsidR="006C4F24" w:rsidRPr="005335FE">
        <w:rPr>
          <w:rFonts w:ascii="Arial" w:hAnsi="Arial" w:cs="Arial"/>
          <w:bCs/>
          <w:sz w:val="24"/>
          <w:szCs w:val="24"/>
        </w:rPr>
        <w:t xml:space="preserve"> wraz </w:t>
      </w:r>
      <w:r w:rsidRPr="005335FE">
        <w:rPr>
          <w:rFonts w:ascii="Arial" w:hAnsi="Arial" w:cs="Arial"/>
          <w:bCs/>
          <w:sz w:val="24"/>
          <w:szCs w:val="24"/>
        </w:rPr>
        <w:t>z wykazaniem ilości i rodzaju materiału, zakup wyposaż</w:t>
      </w:r>
      <w:r w:rsidR="006C4F24" w:rsidRPr="005335FE">
        <w:rPr>
          <w:rFonts w:ascii="Arial" w:hAnsi="Arial" w:cs="Arial"/>
          <w:bCs/>
          <w:sz w:val="24"/>
          <w:szCs w:val="24"/>
        </w:rPr>
        <w:t xml:space="preserve">enia wraz </w:t>
      </w:r>
      <w:r w:rsidR="001826ED" w:rsidRPr="005335FE">
        <w:rPr>
          <w:rFonts w:ascii="Arial" w:hAnsi="Arial" w:cs="Arial"/>
          <w:bCs/>
          <w:sz w:val="24"/>
          <w:szCs w:val="24"/>
        </w:rPr>
        <w:t>z</w:t>
      </w:r>
      <w:r w:rsidR="006C4F24" w:rsidRPr="005335FE">
        <w:rPr>
          <w:rFonts w:ascii="Arial" w:hAnsi="Arial" w:cs="Arial"/>
          <w:bCs/>
          <w:sz w:val="24"/>
          <w:szCs w:val="24"/>
        </w:rPr>
        <w:t>e</w:t>
      </w:r>
      <w:r w:rsidR="001826ED" w:rsidRPr="005335FE">
        <w:rPr>
          <w:rFonts w:ascii="Arial" w:hAnsi="Arial" w:cs="Arial"/>
          <w:bCs/>
          <w:sz w:val="24"/>
          <w:szCs w:val="24"/>
        </w:rPr>
        <w:t xml:space="preserve"> wskazaniem nazwy wyposażenia oraz jego ilości</w:t>
      </w:r>
      <w:r w:rsidRPr="005335FE">
        <w:rPr>
          <w:rFonts w:ascii="Arial" w:hAnsi="Arial" w:cs="Arial"/>
          <w:bCs/>
          <w:sz w:val="24"/>
          <w:szCs w:val="24"/>
        </w:rPr>
        <w:t>)</w:t>
      </w:r>
      <w:r w:rsidR="001826ED" w:rsidRPr="005335FE">
        <w:rPr>
          <w:rFonts w:ascii="Arial" w:hAnsi="Arial" w:cs="Arial"/>
          <w:bCs/>
          <w:sz w:val="24"/>
          <w:szCs w:val="24"/>
        </w:rPr>
        <w:t xml:space="preserve"> w ramach danego zadania, które zostało określone w punkcie V „Zadania projektu – szczegółowy </w:t>
      </w:r>
      <w:r w:rsidR="007E3077" w:rsidRPr="005335FE">
        <w:rPr>
          <w:rFonts w:ascii="Arial" w:hAnsi="Arial" w:cs="Arial"/>
          <w:bCs/>
          <w:sz w:val="24"/>
          <w:szCs w:val="24"/>
        </w:rPr>
        <w:t>opis projektu objętego grantem”;</w:t>
      </w:r>
    </w:p>
    <w:p w14:paraId="75D0BDE8" w14:textId="1FC93723" w:rsidR="007E3077" w:rsidRPr="005335FE" w:rsidRDefault="007E3077" w:rsidP="0035515D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5335FE">
        <w:rPr>
          <w:rFonts w:ascii="Arial" w:hAnsi="Arial" w:cs="Arial"/>
          <w:bCs/>
          <w:sz w:val="24"/>
          <w:szCs w:val="24"/>
        </w:rPr>
        <w:t>- kwota grantu może ulec odpowiedniemu zmniejszeniu w przypadku, s</w:t>
      </w:r>
      <w:r w:rsidR="006C4F24" w:rsidRPr="005335FE">
        <w:rPr>
          <w:rFonts w:ascii="Arial" w:hAnsi="Arial" w:cs="Arial"/>
          <w:bCs/>
          <w:sz w:val="24"/>
          <w:szCs w:val="24"/>
        </w:rPr>
        <w:t xml:space="preserve">twierdzenia przez Radę LGD: nie </w:t>
      </w:r>
      <w:r w:rsidRPr="005335FE">
        <w:rPr>
          <w:rFonts w:ascii="Arial" w:hAnsi="Arial" w:cs="Arial"/>
          <w:bCs/>
          <w:sz w:val="24"/>
          <w:szCs w:val="24"/>
        </w:rPr>
        <w:t>kwalifikowalności lub nie</w:t>
      </w:r>
      <w:r w:rsidR="006C4F24" w:rsidRPr="005335FE">
        <w:rPr>
          <w:rFonts w:ascii="Arial" w:hAnsi="Arial" w:cs="Arial"/>
          <w:bCs/>
          <w:sz w:val="24"/>
          <w:szCs w:val="24"/>
        </w:rPr>
        <w:t xml:space="preserve"> </w:t>
      </w:r>
      <w:r w:rsidRPr="005335FE">
        <w:rPr>
          <w:rFonts w:ascii="Arial" w:hAnsi="Arial" w:cs="Arial"/>
          <w:bCs/>
          <w:sz w:val="24"/>
          <w:szCs w:val="24"/>
        </w:rPr>
        <w:t xml:space="preserve">racjonalności lub zbędności danego kosztu po uwzględnieniu stawek kosztów przedstawionych w katalogu stawek maksymalnych lub Wytycznych dotyczących kwalifikowalności wydatków na lata 2021 – 2027. </w:t>
      </w:r>
    </w:p>
    <w:p w14:paraId="00509292" w14:textId="77777777" w:rsidR="000F35EC" w:rsidRPr="005335FE" w:rsidRDefault="000F35EC" w:rsidP="0035515D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E139D3E" w14:textId="77777777" w:rsidR="000F35EC" w:rsidRPr="005335FE" w:rsidRDefault="000F35EC" w:rsidP="0035515D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335FE">
        <w:rPr>
          <w:rFonts w:ascii="Arial" w:hAnsi="Arial" w:cs="Arial"/>
          <w:sz w:val="24"/>
          <w:szCs w:val="24"/>
        </w:rPr>
        <w:t>Cz. II.  Katalog stawek maksymalnych</w:t>
      </w:r>
    </w:p>
    <w:p w14:paraId="0F6AB7C5" w14:textId="77777777" w:rsidR="002F0433" w:rsidRPr="005335FE" w:rsidRDefault="002F0433" w:rsidP="0035515D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B35A9C6" w14:textId="26B5C578" w:rsidR="002F0433" w:rsidRPr="005335FE" w:rsidRDefault="000F35EC" w:rsidP="0078425B">
      <w:pPr>
        <w:pStyle w:val="Akapitzlist"/>
        <w:numPr>
          <w:ilvl w:val="0"/>
          <w:numId w:val="12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5335FE">
        <w:rPr>
          <w:rFonts w:ascii="Arial" w:hAnsi="Arial" w:cs="Arial"/>
          <w:sz w:val="24"/>
          <w:szCs w:val="24"/>
        </w:rPr>
        <w:t>Niniejszy dokument określa katalog najczęściej występujących kosztów w ramach programu regionalnego Fundusze Europejskie dla Kujaw i Pomorza 2021-2027, Priorytet: 7 Fundusze europejskie na rozwój lokalny, Działanie: FEKP.</w:t>
      </w:r>
      <w:r w:rsidR="00DC3AE0" w:rsidRPr="005335FE">
        <w:rPr>
          <w:rFonts w:ascii="Arial" w:hAnsi="Arial" w:cs="Arial"/>
          <w:sz w:val="24"/>
          <w:szCs w:val="24"/>
        </w:rPr>
        <w:t xml:space="preserve"> 07.02 Wsparcie dzieci i młodzieży poza edukacją formalną.</w:t>
      </w:r>
    </w:p>
    <w:p w14:paraId="18A1FE52" w14:textId="77777777" w:rsidR="00DC3AE0" w:rsidRPr="005335FE" w:rsidRDefault="00DC3AE0" w:rsidP="00DC3AE0">
      <w:pPr>
        <w:pStyle w:val="Akapitzlist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5127CC3" w14:textId="77777777" w:rsidR="000F35EC" w:rsidRPr="005335FE" w:rsidRDefault="000F35EC" w:rsidP="0035515D">
      <w:pPr>
        <w:spacing w:after="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5335FE">
        <w:rPr>
          <w:rFonts w:ascii="Arial" w:hAnsi="Arial" w:cs="Arial"/>
          <w:b/>
          <w:bCs/>
          <w:sz w:val="24"/>
          <w:szCs w:val="24"/>
        </w:rPr>
        <w:t>Katalog stawek maksymalnych nie ma charakteru zamkniętego.</w:t>
      </w:r>
    </w:p>
    <w:p w14:paraId="2C6F0845" w14:textId="77777777" w:rsidR="002F0433" w:rsidRPr="005335FE" w:rsidRDefault="002F0433" w:rsidP="0035515D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314907E7" w14:textId="68D62498" w:rsidR="000F35EC" w:rsidRPr="005335FE" w:rsidRDefault="000F35EC" w:rsidP="0035515D">
      <w:pPr>
        <w:pStyle w:val="Akapitzlist"/>
        <w:numPr>
          <w:ilvl w:val="0"/>
          <w:numId w:val="12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5335FE">
        <w:rPr>
          <w:rFonts w:ascii="Arial" w:hAnsi="Arial" w:cs="Arial"/>
          <w:sz w:val="24"/>
          <w:szCs w:val="24"/>
        </w:rPr>
        <w:t>Stawki wyszczególnione w zestawieniu są stawkami maksymalnymi, jednak nie oznacza to automatycznego akceptowania przez oceniających stawek założonych na maksymalnym poziomie (brane pod uwagę będą takie czynniki jak: specyfika projektu objętego grantem, stopień złożoności projektu objętego grantem, wielkość grupy docelowej, miejsce realizacji</w:t>
      </w:r>
      <w:r w:rsidR="006C4F24" w:rsidRPr="005335FE">
        <w:rPr>
          <w:rFonts w:ascii="Arial" w:hAnsi="Arial" w:cs="Arial"/>
          <w:sz w:val="24"/>
          <w:szCs w:val="24"/>
        </w:rPr>
        <w:t>, itp.</w:t>
      </w:r>
      <w:r w:rsidRPr="005335FE">
        <w:rPr>
          <w:rFonts w:ascii="Arial" w:hAnsi="Arial" w:cs="Arial"/>
          <w:sz w:val="24"/>
          <w:szCs w:val="24"/>
        </w:rPr>
        <w:t>).</w:t>
      </w:r>
    </w:p>
    <w:p w14:paraId="59C0F232" w14:textId="77777777" w:rsidR="000F35EC" w:rsidRPr="005335FE" w:rsidRDefault="000F35EC" w:rsidP="003551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5335FE">
        <w:rPr>
          <w:rFonts w:ascii="Arial" w:hAnsi="Arial" w:cs="Arial"/>
          <w:sz w:val="24"/>
          <w:szCs w:val="24"/>
        </w:rPr>
        <w:t>Kwoty ujęte w zestawieniu uwzględniają wartość brutto wydatku (z wyjątkiem wynagrodzeń, które są szacowane z uwzględnieniem kosztów pracodawcy tzw. płaca brutto brutto).</w:t>
      </w:r>
    </w:p>
    <w:p w14:paraId="5A185ABA" w14:textId="77777777" w:rsidR="000F35EC" w:rsidRPr="005335FE" w:rsidRDefault="000F35EC" w:rsidP="003551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5335FE">
        <w:rPr>
          <w:rFonts w:ascii="Arial" w:hAnsi="Arial" w:cs="Arial"/>
          <w:sz w:val="24"/>
          <w:szCs w:val="24"/>
        </w:rPr>
        <w:t>Godzina ujęta w zestawieniu, co do zasady oznacza godzinę zegarową (tj. 60 minut), chyba że w zestawieniu wskazano inaczej.</w:t>
      </w:r>
    </w:p>
    <w:p w14:paraId="117198C0" w14:textId="138EE489" w:rsidR="00997625" w:rsidRPr="005335FE" w:rsidRDefault="00997625" w:rsidP="0035515D">
      <w:pPr>
        <w:numPr>
          <w:ilvl w:val="0"/>
          <w:numId w:val="12"/>
        </w:numPr>
        <w:suppressAutoHyphens/>
        <w:spacing w:after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5335FE">
        <w:rPr>
          <w:rFonts w:ascii="Arial" w:hAnsi="Arial" w:cs="Arial"/>
          <w:sz w:val="24"/>
          <w:szCs w:val="24"/>
        </w:rPr>
        <w:t>Czas trwania zajęć liczy się w godzinach zegarowych ( 60 minut ),</w:t>
      </w:r>
    </w:p>
    <w:p w14:paraId="735D875B" w14:textId="77777777" w:rsidR="000F35EC" w:rsidRPr="005335FE" w:rsidRDefault="000F35EC" w:rsidP="003551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714" w:hanging="357"/>
        <w:rPr>
          <w:rFonts w:ascii="Arial" w:hAnsi="Arial" w:cs="Arial"/>
          <w:bCs/>
          <w:sz w:val="24"/>
          <w:szCs w:val="24"/>
        </w:rPr>
      </w:pPr>
      <w:r w:rsidRPr="005335FE">
        <w:rPr>
          <w:rFonts w:ascii="Arial" w:hAnsi="Arial" w:cs="Arial"/>
          <w:sz w:val="24"/>
          <w:szCs w:val="24"/>
        </w:rPr>
        <w:t>Dopuszczalne jest ujmowanie w projekcie objętym grantem innych kosztów, które są niezbędne do jego realizacji.</w:t>
      </w:r>
    </w:p>
    <w:p w14:paraId="661E9C93" w14:textId="7B156AC4" w:rsidR="000F35EC" w:rsidRDefault="000F35EC" w:rsidP="0035515D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  <w:r w:rsidRPr="005335FE">
        <w:rPr>
          <w:rFonts w:ascii="Arial" w:hAnsi="Arial" w:cs="Arial"/>
          <w:sz w:val="24"/>
          <w:szCs w:val="24"/>
        </w:rPr>
        <w:t xml:space="preserve">W  odniesieniu do dóbr lub usług, które nie występują w obrocie powszechnym, w sytuacji, gdy dany koszt nie został ujęty w katalogu stawek maksymalnych, Wnioskodawca winien uzasadnić ich racjonalność, załączając do wniosku o powierzenie grantu </w:t>
      </w:r>
      <w:r w:rsidRPr="005335FE">
        <w:rPr>
          <w:rFonts w:ascii="Arial" w:hAnsi="Arial" w:cs="Arial"/>
          <w:bCs/>
          <w:sz w:val="24"/>
          <w:szCs w:val="24"/>
        </w:rPr>
        <w:t>co najmniej 1 dokument uzas</w:t>
      </w:r>
      <w:r w:rsidR="006C4F24" w:rsidRPr="005335FE">
        <w:rPr>
          <w:rFonts w:ascii="Arial" w:hAnsi="Arial" w:cs="Arial"/>
          <w:bCs/>
          <w:sz w:val="24"/>
          <w:szCs w:val="24"/>
        </w:rPr>
        <w:t>adniające przyjęty poziom cen</w:t>
      </w:r>
      <w:r w:rsidRPr="005335F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35FE">
        <w:rPr>
          <w:rFonts w:ascii="Arial" w:hAnsi="Arial" w:cs="Arial"/>
          <w:sz w:val="24"/>
          <w:szCs w:val="24"/>
        </w:rPr>
        <w:t xml:space="preserve">(np. oferta cenowa, katalog cen, wydruki ze stron www, itp.) </w:t>
      </w:r>
      <w:r w:rsidRPr="005335FE">
        <w:rPr>
          <w:rFonts w:ascii="Arial" w:hAnsi="Arial" w:cs="Arial"/>
          <w:bCs/>
          <w:sz w:val="24"/>
          <w:szCs w:val="24"/>
        </w:rPr>
        <w:t>– wymóg załączania dokumentów uzasadniających poziom cen nie dotyczy kosztów administracyjnych.</w:t>
      </w:r>
      <w:r w:rsidRPr="005335FE">
        <w:rPr>
          <w:rFonts w:ascii="Arial" w:hAnsi="Arial" w:cs="Arial"/>
          <w:b/>
          <w:bCs/>
          <w:sz w:val="24"/>
          <w:szCs w:val="24"/>
        </w:rPr>
        <w:t xml:space="preserve"> </w:t>
      </w:r>
      <w:r w:rsidRPr="005335FE">
        <w:rPr>
          <w:rFonts w:ascii="Arial" w:hAnsi="Arial" w:cs="Arial"/>
          <w:sz w:val="24"/>
          <w:szCs w:val="24"/>
        </w:rPr>
        <w:br/>
        <w:t xml:space="preserve">Brak dokumentów uzasadniających poziom cen skutkuje uznaniem danego kosztu </w:t>
      </w:r>
      <w:r w:rsidRPr="005335FE">
        <w:rPr>
          <w:rFonts w:ascii="Arial" w:hAnsi="Arial" w:cs="Arial"/>
          <w:color w:val="000000"/>
          <w:sz w:val="24"/>
          <w:szCs w:val="24"/>
        </w:rPr>
        <w:t>za nieracjonalny.</w:t>
      </w:r>
      <w:r w:rsidRPr="005335FE">
        <w:rPr>
          <w:rFonts w:ascii="Arial" w:hAnsi="Arial" w:cs="Arial"/>
          <w:sz w:val="24"/>
          <w:szCs w:val="24"/>
        </w:rPr>
        <w:t xml:space="preserve"> </w:t>
      </w:r>
      <w:r w:rsidRPr="005335FE">
        <w:rPr>
          <w:rFonts w:ascii="Arial" w:hAnsi="Arial" w:cs="Arial"/>
          <w:sz w:val="24"/>
          <w:szCs w:val="24"/>
        </w:rPr>
        <w:br/>
      </w:r>
      <w:r w:rsidRPr="005335FE">
        <w:rPr>
          <w:rFonts w:ascii="Arial" w:hAnsi="Arial" w:cs="Arial"/>
          <w:sz w:val="24"/>
          <w:szCs w:val="24"/>
        </w:rPr>
        <w:lastRenderedPageBreak/>
        <w:t>Gratobiorca może dodatkowo załączyć do wniosku o powierzen</w:t>
      </w:r>
      <w:r w:rsidR="006C4F24" w:rsidRPr="005335FE">
        <w:rPr>
          <w:rFonts w:ascii="Arial" w:hAnsi="Arial" w:cs="Arial"/>
          <w:sz w:val="24"/>
          <w:szCs w:val="24"/>
        </w:rPr>
        <w:t>ie grantu kalkulacje cenowe dotyczący</w:t>
      </w:r>
      <w:r w:rsidRPr="005335FE">
        <w:rPr>
          <w:rFonts w:ascii="Arial" w:hAnsi="Arial" w:cs="Arial"/>
          <w:sz w:val="24"/>
          <w:szCs w:val="24"/>
        </w:rPr>
        <w:t xml:space="preserve"> np. kosztu zakupu materiałów na warsztaty dla uczestników, gdy koszt jest składową kilku elementów.</w:t>
      </w:r>
    </w:p>
    <w:p w14:paraId="6C2C7E02" w14:textId="77777777" w:rsidR="005335FE" w:rsidRPr="005335FE" w:rsidRDefault="005335FE" w:rsidP="0035515D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3F69B09C" w14:textId="77777777" w:rsidR="000F35EC" w:rsidRPr="005335FE" w:rsidRDefault="000F35EC" w:rsidP="003551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335FE">
        <w:rPr>
          <w:rFonts w:ascii="Arial" w:hAnsi="Arial" w:cs="Arial"/>
          <w:sz w:val="24"/>
          <w:szCs w:val="24"/>
        </w:rPr>
        <w:t>Dokonując oceny wydatków ujętych w budżetach projektów objętych grantem, LGD będzie weryfikować:</w:t>
      </w:r>
    </w:p>
    <w:p w14:paraId="54A91827" w14:textId="77777777" w:rsidR="000F35EC" w:rsidRPr="005335FE" w:rsidRDefault="000F35EC" w:rsidP="0035515D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335FE">
        <w:rPr>
          <w:rFonts w:ascii="Arial" w:hAnsi="Arial" w:cs="Arial"/>
          <w:sz w:val="24"/>
          <w:szCs w:val="24"/>
        </w:rPr>
        <w:t>1) niezbędność planowanych wydatków – czy wydatki wynikają bezpośrednio z opisanych działań i przyczyniają się do osiągnięcia produktów projektu;</w:t>
      </w:r>
    </w:p>
    <w:p w14:paraId="761074F2" w14:textId="77777777" w:rsidR="000F35EC" w:rsidRPr="005335FE" w:rsidRDefault="000F35EC" w:rsidP="0035515D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335FE">
        <w:rPr>
          <w:rFonts w:ascii="Arial" w:hAnsi="Arial" w:cs="Arial"/>
          <w:sz w:val="24"/>
          <w:szCs w:val="24"/>
        </w:rPr>
        <w:t>2) racjonalność i efektywność planowanych wydatków, w tym:</w:t>
      </w:r>
    </w:p>
    <w:p w14:paraId="1B2E9032" w14:textId="14FCCB3C" w:rsidR="001E7430" w:rsidRPr="005335FE" w:rsidRDefault="000F35EC" w:rsidP="00BE054D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335FE">
        <w:rPr>
          <w:rFonts w:ascii="Arial" w:hAnsi="Arial" w:cs="Arial"/>
          <w:sz w:val="24"/>
          <w:szCs w:val="24"/>
        </w:rPr>
        <w:t>a) czy są adekwatne do zakresu i specyfiki projektu, czasu jego realizacji oraz planowanych produktów projektu;</w:t>
      </w:r>
    </w:p>
    <w:p w14:paraId="2CA1A67C" w14:textId="77777777" w:rsidR="000F35EC" w:rsidRPr="005335FE" w:rsidRDefault="000F35EC" w:rsidP="0035515D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335FE">
        <w:rPr>
          <w:rFonts w:ascii="Arial" w:hAnsi="Arial" w:cs="Arial"/>
          <w:sz w:val="24"/>
          <w:szCs w:val="24"/>
        </w:rPr>
        <w:t>b) czy są zgodne ze standardami lub cenami rynkowymi towarów lub usług,</w:t>
      </w:r>
    </w:p>
    <w:p w14:paraId="507C9B51" w14:textId="77777777" w:rsidR="000F35EC" w:rsidRPr="005335FE" w:rsidRDefault="000F35EC" w:rsidP="0035515D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335FE">
        <w:rPr>
          <w:rFonts w:ascii="Arial" w:hAnsi="Arial" w:cs="Arial"/>
          <w:sz w:val="24"/>
          <w:szCs w:val="24"/>
        </w:rPr>
        <w:t>c) czy określone w projekcie nakłady finansowe służą osiągnięciu możliwie najkorzystniejszych efektów realizacji zadań.</w:t>
      </w:r>
    </w:p>
    <w:p w14:paraId="575F5C13" w14:textId="77777777" w:rsidR="000F35EC" w:rsidRPr="005335FE" w:rsidRDefault="000F35EC" w:rsidP="0035515D">
      <w:pPr>
        <w:pStyle w:val="Akapitzlist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335FE">
        <w:rPr>
          <w:rFonts w:ascii="Arial" w:hAnsi="Arial" w:cs="Arial"/>
          <w:sz w:val="24"/>
          <w:szCs w:val="24"/>
        </w:rPr>
        <w:t>3) poprawność sporządzenia budżetu (w tym: zastosowanie prawidłowych: limitów, kosztów administracyjnych, jednostek miar i wyliczeń kwot).</w:t>
      </w:r>
    </w:p>
    <w:p w14:paraId="005C2317" w14:textId="3E9106FB" w:rsidR="000F35EC" w:rsidRPr="005335FE" w:rsidRDefault="000F35EC" w:rsidP="0035515D">
      <w:pPr>
        <w:pStyle w:val="Akapitzlist"/>
        <w:widowControl w:val="0"/>
        <w:numPr>
          <w:ilvl w:val="0"/>
          <w:numId w:val="12"/>
        </w:numPr>
        <w:spacing w:after="0" w:line="276" w:lineRule="auto"/>
        <w:rPr>
          <w:rFonts w:ascii="Arial" w:eastAsia="Courier New" w:hAnsi="Arial" w:cs="Arial"/>
          <w:color w:val="000000"/>
          <w:sz w:val="24"/>
          <w:szCs w:val="24"/>
          <w:lang w:eastAsia="pl-PL"/>
        </w:rPr>
      </w:pPr>
      <w:r w:rsidRPr="005335FE">
        <w:rPr>
          <w:rFonts w:ascii="Arial" w:eastAsia="Courier New" w:hAnsi="Arial" w:cs="Arial"/>
          <w:color w:val="000000"/>
          <w:sz w:val="24"/>
          <w:szCs w:val="24"/>
          <w:lang w:eastAsia="pl-PL"/>
        </w:rPr>
        <w:t>Kwota grantu może ulec odpowiedniemu zmniejszeniu w przypadku:</w:t>
      </w:r>
    </w:p>
    <w:p w14:paraId="69BAE931" w14:textId="3F69E8FD" w:rsidR="000F35EC" w:rsidRPr="005335FE" w:rsidRDefault="000F35EC" w:rsidP="003551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eastAsia="Courier New" w:hAnsi="Arial" w:cs="Arial"/>
          <w:color w:val="000000"/>
          <w:sz w:val="24"/>
          <w:szCs w:val="24"/>
          <w:lang w:eastAsia="pl-PL"/>
        </w:rPr>
      </w:pPr>
      <w:r w:rsidRPr="005335FE">
        <w:rPr>
          <w:rFonts w:ascii="Arial" w:eastAsia="Courier New" w:hAnsi="Arial" w:cs="Arial"/>
          <w:color w:val="000000"/>
          <w:sz w:val="24"/>
          <w:szCs w:val="24"/>
          <w:lang w:eastAsia="pl-PL"/>
        </w:rPr>
        <w:t>stwierdzenia przez Radę LGD nie</w:t>
      </w:r>
      <w:r w:rsidR="00F83D1E" w:rsidRPr="005335FE">
        <w:rPr>
          <w:rFonts w:ascii="Arial" w:eastAsia="Courier New" w:hAnsi="Arial" w:cs="Arial"/>
          <w:color w:val="000000"/>
          <w:sz w:val="24"/>
          <w:szCs w:val="24"/>
          <w:lang w:eastAsia="pl-PL"/>
        </w:rPr>
        <w:t xml:space="preserve"> </w:t>
      </w:r>
      <w:r w:rsidR="008E1CAF" w:rsidRPr="005335FE">
        <w:rPr>
          <w:rFonts w:ascii="Arial" w:eastAsia="Courier New" w:hAnsi="Arial" w:cs="Arial"/>
          <w:color w:val="000000"/>
          <w:sz w:val="24"/>
          <w:szCs w:val="24"/>
          <w:lang w:eastAsia="pl-PL"/>
        </w:rPr>
        <w:t xml:space="preserve">kwalifikowalności, zbędności </w:t>
      </w:r>
      <w:r w:rsidRPr="005335FE">
        <w:rPr>
          <w:rFonts w:ascii="Arial" w:eastAsia="Courier New" w:hAnsi="Arial" w:cs="Arial"/>
          <w:color w:val="000000"/>
          <w:sz w:val="24"/>
          <w:szCs w:val="24"/>
          <w:lang w:eastAsia="pl-PL"/>
        </w:rPr>
        <w:t>lub nieracjonalności danego kosztu,</w:t>
      </w:r>
    </w:p>
    <w:p w14:paraId="4290F3B7" w14:textId="77777777" w:rsidR="000F35EC" w:rsidRPr="005335FE" w:rsidRDefault="000F35EC" w:rsidP="003551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eastAsia="Courier New" w:hAnsi="Arial" w:cs="Arial"/>
          <w:color w:val="000000"/>
          <w:sz w:val="24"/>
          <w:szCs w:val="24"/>
          <w:lang w:eastAsia="pl-PL"/>
        </w:rPr>
      </w:pPr>
      <w:r w:rsidRPr="005335FE">
        <w:rPr>
          <w:rFonts w:ascii="Arial" w:eastAsia="Courier New" w:hAnsi="Arial" w:cs="Arial"/>
          <w:color w:val="000000"/>
          <w:sz w:val="24"/>
          <w:szCs w:val="24"/>
          <w:lang w:eastAsia="pl-PL"/>
        </w:rPr>
        <w:t>niezastosowania przez wnioskodawcę katalogu stawek maksymalnych (jeśli dotyczy),</w:t>
      </w:r>
    </w:p>
    <w:p w14:paraId="4DE27F75" w14:textId="77777777" w:rsidR="000F35EC" w:rsidRPr="005335FE" w:rsidRDefault="000F35EC" w:rsidP="003551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eastAsia="Courier New" w:hAnsi="Arial" w:cs="Arial"/>
          <w:i/>
          <w:iCs/>
          <w:color w:val="000000"/>
          <w:sz w:val="24"/>
          <w:szCs w:val="24"/>
          <w:lang w:eastAsia="pl-PL"/>
        </w:rPr>
      </w:pPr>
      <w:r w:rsidRPr="005335FE">
        <w:rPr>
          <w:rFonts w:ascii="Arial" w:eastAsia="Courier New" w:hAnsi="Arial" w:cs="Arial"/>
          <w:color w:val="000000"/>
          <w:sz w:val="24"/>
          <w:szCs w:val="24"/>
          <w:lang w:eastAsia="pl-PL"/>
        </w:rPr>
        <w:t xml:space="preserve">niezastosowania się </w:t>
      </w:r>
      <w:r w:rsidRPr="005335FE">
        <w:rPr>
          <w:rFonts w:ascii="Arial" w:eastAsia="Courier New" w:hAnsi="Arial" w:cs="Arial"/>
          <w:sz w:val="24"/>
          <w:szCs w:val="24"/>
          <w:lang w:eastAsia="pl-PL"/>
        </w:rPr>
        <w:t>Wnioskodawcy</w:t>
      </w:r>
      <w:r w:rsidRPr="005335FE">
        <w:rPr>
          <w:rFonts w:ascii="Arial" w:eastAsia="Courier New" w:hAnsi="Arial" w:cs="Arial"/>
          <w:color w:val="000000"/>
          <w:sz w:val="24"/>
          <w:szCs w:val="24"/>
          <w:lang w:eastAsia="pl-PL"/>
        </w:rPr>
        <w:t xml:space="preserve"> do </w:t>
      </w:r>
      <w:r w:rsidRPr="005335FE">
        <w:rPr>
          <w:rFonts w:ascii="Arial" w:eastAsia="Courier New" w:hAnsi="Arial" w:cs="Arial"/>
          <w:i/>
          <w:iCs/>
          <w:color w:val="000000"/>
          <w:sz w:val="24"/>
          <w:szCs w:val="24"/>
          <w:lang w:eastAsia="pl-PL"/>
        </w:rPr>
        <w:t>Wytycznych dotyczących kwalifikowalności wydatków na lata 2021-2027,</w:t>
      </w:r>
    </w:p>
    <w:p w14:paraId="05408C64" w14:textId="77777777" w:rsidR="000F35EC" w:rsidRPr="005335FE" w:rsidRDefault="000F35EC" w:rsidP="003551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eastAsia="Courier New" w:hAnsi="Arial" w:cs="Arial"/>
          <w:color w:val="000000"/>
          <w:sz w:val="24"/>
          <w:szCs w:val="24"/>
          <w:lang w:eastAsia="pl-PL"/>
        </w:rPr>
      </w:pPr>
      <w:r w:rsidRPr="005335FE">
        <w:rPr>
          <w:rFonts w:ascii="Arial" w:eastAsia="Courier New" w:hAnsi="Arial" w:cs="Arial"/>
          <w:color w:val="000000"/>
          <w:sz w:val="24"/>
          <w:szCs w:val="24"/>
          <w:lang w:eastAsia="pl-PL"/>
        </w:rPr>
        <w:t xml:space="preserve">włączenia </w:t>
      </w:r>
      <w:r w:rsidRPr="005335FE">
        <w:rPr>
          <w:rFonts w:ascii="Arial" w:eastAsia="Courier New" w:hAnsi="Arial" w:cs="Arial"/>
          <w:sz w:val="24"/>
          <w:szCs w:val="24"/>
          <w:lang w:eastAsia="pl-PL"/>
        </w:rPr>
        <w:t xml:space="preserve">przez Wnioskodawcę </w:t>
      </w:r>
      <w:r w:rsidRPr="005335FE">
        <w:rPr>
          <w:rFonts w:ascii="Arial" w:eastAsia="Courier New" w:hAnsi="Arial" w:cs="Arial"/>
          <w:color w:val="000000"/>
          <w:sz w:val="24"/>
          <w:szCs w:val="24"/>
          <w:lang w:eastAsia="pl-PL"/>
        </w:rPr>
        <w:t>do kosztów grantu kosztów wyłączonych przez LGD w Regulaminie naboru (jeśli dotyczy);</w:t>
      </w:r>
    </w:p>
    <w:p w14:paraId="1856867D" w14:textId="77777777" w:rsidR="000F35EC" w:rsidRPr="005335FE" w:rsidRDefault="000F35EC" w:rsidP="003551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eastAsia="Courier New" w:hAnsi="Arial" w:cs="Arial"/>
          <w:color w:val="000000"/>
          <w:sz w:val="24"/>
          <w:szCs w:val="24"/>
          <w:lang w:eastAsia="pl-PL"/>
        </w:rPr>
      </w:pPr>
      <w:r w:rsidRPr="005335FE">
        <w:rPr>
          <w:rFonts w:ascii="Arial" w:eastAsia="Courier New" w:hAnsi="Arial" w:cs="Arial"/>
          <w:color w:val="000000"/>
          <w:sz w:val="24"/>
          <w:szCs w:val="24"/>
          <w:lang w:eastAsia="pl-PL"/>
        </w:rPr>
        <w:t>przekroczenie dopuszczalnego poziomu kosztów administracyjnych;</w:t>
      </w:r>
    </w:p>
    <w:p w14:paraId="4A7218B1" w14:textId="77777777" w:rsidR="000F35EC" w:rsidRPr="005335FE" w:rsidRDefault="000F35EC" w:rsidP="0035515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="Arial" w:eastAsia="Courier New" w:hAnsi="Arial" w:cs="Arial"/>
          <w:sz w:val="24"/>
          <w:szCs w:val="24"/>
          <w:lang w:eastAsia="pl-PL"/>
        </w:rPr>
      </w:pPr>
      <w:r w:rsidRPr="005335FE">
        <w:rPr>
          <w:rFonts w:ascii="Arial" w:eastAsia="Courier New" w:hAnsi="Arial" w:cs="Arial"/>
          <w:color w:val="000000"/>
          <w:sz w:val="24"/>
          <w:szCs w:val="24"/>
          <w:lang w:eastAsia="pl-PL"/>
        </w:rPr>
        <w:t>przekroczenie wskazanej w LSR intensywności pomocy określonej dla danego przedsięwzięcia LSR, w ramach którego ogłoszony był nabór wniosków.</w:t>
      </w:r>
    </w:p>
    <w:p w14:paraId="35AFA783" w14:textId="01EB0A04" w:rsidR="005335FE" w:rsidRDefault="000F35EC" w:rsidP="0035515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5335FE">
        <w:rPr>
          <w:rFonts w:ascii="Arial" w:hAnsi="Arial" w:cs="Arial"/>
          <w:sz w:val="24"/>
          <w:szCs w:val="24"/>
        </w:rPr>
        <w:t>Mając na uwadze powyższe, przy planowaniu wydatków, Wnioskodawca powinien kierować się zasadą, aby ujęty w budżecie koszt był niezbędny do realizacji</w:t>
      </w:r>
      <w:r w:rsidR="008E1CAF" w:rsidRPr="005335FE">
        <w:rPr>
          <w:rFonts w:ascii="Arial" w:hAnsi="Arial" w:cs="Arial"/>
          <w:sz w:val="24"/>
          <w:szCs w:val="24"/>
        </w:rPr>
        <w:t>: wskaźników,</w:t>
      </w:r>
      <w:r w:rsidRPr="005335FE">
        <w:rPr>
          <w:rFonts w:ascii="Arial" w:hAnsi="Arial" w:cs="Arial"/>
          <w:sz w:val="24"/>
          <w:szCs w:val="24"/>
        </w:rPr>
        <w:t xml:space="preserve"> celów projektu objętego grantem i został dokonany w sposób przejrzysty, racjonalny i efektywny, z zachowaniem zasad uzyskiwania najlepszych efektów z danych nakładów.</w:t>
      </w:r>
    </w:p>
    <w:p w14:paraId="6736E6C1" w14:textId="77777777" w:rsidR="005335FE" w:rsidRDefault="005335FE" w:rsidP="0035515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94AE063" w14:textId="77777777" w:rsidR="005335FE" w:rsidRDefault="005335FE" w:rsidP="0035515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16AE1D5C" w14:textId="77777777" w:rsidR="005335FE" w:rsidRDefault="005335FE" w:rsidP="0035515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610BE670" w14:textId="77777777" w:rsidR="005335FE" w:rsidRDefault="005335FE" w:rsidP="0035515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7343F81D" w14:textId="77777777" w:rsidR="005335FE" w:rsidRDefault="005335FE" w:rsidP="0035515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79D4F9F" w14:textId="77777777" w:rsidR="005335FE" w:rsidRDefault="005335FE" w:rsidP="0035515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224510A7" w14:textId="77777777" w:rsidR="005335FE" w:rsidRPr="005335FE" w:rsidRDefault="005335FE" w:rsidP="0035515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0AAD0E03" w14:textId="77777777" w:rsidR="000F35EC" w:rsidRPr="005335FE" w:rsidRDefault="000F35EC" w:rsidP="0035515D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520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6"/>
        <w:gridCol w:w="1276"/>
        <w:gridCol w:w="1701"/>
        <w:gridCol w:w="4113"/>
        <w:gridCol w:w="5491"/>
      </w:tblGrid>
      <w:tr w:rsidR="00254DFD" w:rsidRPr="005335FE" w14:paraId="5B074207" w14:textId="77777777" w:rsidTr="003514D4">
        <w:trPr>
          <w:trHeight w:val="120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0F69249A" w14:textId="483E0B38" w:rsidR="000F35EC" w:rsidRPr="005335FE" w:rsidRDefault="000F35EC" w:rsidP="0035515D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aps/>
                <w:sz w:val="24"/>
                <w:szCs w:val="24"/>
              </w:rPr>
            </w:pPr>
            <w:r w:rsidRPr="005335FE">
              <w:rPr>
                <w:rFonts w:ascii="Arial" w:hAnsi="Arial" w:cs="Arial"/>
                <w:bCs/>
                <w:cap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DF64" w14:textId="4462BA82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Kategoria wydatku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E90D" w14:textId="7C95C699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Jednostka miary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7CE0" w14:textId="2B9C8250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Maksymal</w:t>
            </w:r>
            <w:r w:rsidR="003514D4" w:rsidRPr="005335FE">
              <w:rPr>
                <w:rFonts w:ascii="Arial" w:hAnsi="Arial" w:cs="Arial"/>
                <w:sz w:val="24"/>
                <w:szCs w:val="24"/>
              </w:rPr>
              <w:t>ny dopuszczalny poziom kosztu (</w:t>
            </w:r>
            <w:r w:rsidRPr="005335FE">
              <w:rPr>
                <w:rFonts w:ascii="Arial" w:hAnsi="Arial" w:cs="Arial"/>
                <w:sz w:val="24"/>
                <w:szCs w:val="24"/>
              </w:rPr>
              <w:t>w PLN)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7F75" w14:textId="49B59959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Oczekiwany standard/uzasadnienie 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7C6D" w14:textId="2294D8A4" w:rsidR="000F35EC" w:rsidRPr="005335FE" w:rsidRDefault="000F35EC" w:rsidP="0035515D">
            <w:pPr>
              <w:spacing w:after="0" w:line="276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Źródło ceny</w:t>
            </w:r>
          </w:p>
        </w:tc>
      </w:tr>
      <w:tr w:rsidR="00254DFD" w:rsidRPr="005335FE" w14:paraId="62E15946" w14:textId="77777777" w:rsidTr="003514D4">
        <w:trPr>
          <w:trHeight w:val="147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73E8DA81" w14:textId="04047D1E" w:rsidR="000F35EC" w:rsidRPr="005335FE" w:rsidRDefault="00005F22" w:rsidP="0035515D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aps/>
                <w:sz w:val="24"/>
                <w:szCs w:val="24"/>
              </w:rPr>
            </w:pPr>
            <w:r w:rsidRPr="005335FE">
              <w:rPr>
                <w:rFonts w:ascii="Arial" w:hAnsi="Arial" w:cs="Arial"/>
                <w:bCs/>
                <w:caps/>
                <w:sz w:val="24"/>
                <w:szCs w:val="24"/>
              </w:rPr>
              <w:t>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7D53" w14:textId="53D770F3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Koordynator projektu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B9BC" w14:textId="0DD26B0B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godzina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404F" w14:textId="11EC2E58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nie więcej niż 100,00 zł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D676" w14:textId="5D5E1349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Wydatek kwalifikowalny o ile koordynator projektu posiada </w:t>
            </w:r>
            <w:r w:rsidR="0099668E" w:rsidRPr="005335FE">
              <w:rPr>
                <w:rFonts w:ascii="Arial" w:hAnsi="Arial" w:cs="Arial"/>
                <w:sz w:val="24"/>
                <w:szCs w:val="24"/>
              </w:rPr>
              <w:t>odpowiednio udokumentowane kwalifikacje</w:t>
            </w:r>
            <w:r w:rsidRPr="005335FE">
              <w:rPr>
                <w:rFonts w:ascii="Arial" w:hAnsi="Arial" w:cs="Arial"/>
                <w:sz w:val="24"/>
                <w:szCs w:val="24"/>
              </w:rPr>
              <w:t xml:space="preserve"> - weryfikacja na podstawie CV</w:t>
            </w:r>
            <w:r w:rsidR="0099668E" w:rsidRPr="005335FE">
              <w:rPr>
                <w:rFonts w:ascii="Arial" w:hAnsi="Arial" w:cs="Arial"/>
                <w:sz w:val="24"/>
                <w:szCs w:val="24"/>
              </w:rPr>
              <w:t xml:space="preserve"> i załączników.</w:t>
            </w:r>
            <w:r w:rsidRPr="005335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5CD0" w14:textId="0104C69E" w:rsidR="000F35EC" w:rsidRPr="005335FE" w:rsidRDefault="000F35EC" w:rsidP="0035515D">
            <w:pPr>
              <w:spacing w:after="0" w:line="276" w:lineRule="auto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Stawkę przyjęto na podstawie doświadczenia z realizacji grantów w okresie 2014-2020 z uwzględnieniem wzrostu poziomu cen wynikających z wysokiej inflacji</w:t>
            </w:r>
          </w:p>
        </w:tc>
      </w:tr>
      <w:tr w:rsidR="00254DFD" w:rsidRPr="005335FE" w14:paraId="642CAB51" w14:textId="77777777" w:rsidTr="003514D4">
        <w:trPr>
          <w:trHeight w:val="69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407CFDFB" w14:textId="3B408E6A" w:rsidR="000F35EC" w:rsidRPr="005335FE" w:rsidRDefault="00005F22" w:rsidP="0035515D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aps/>
                <w:sz w:val="24"/>
                <w:szCs w:val="24"/>
              </w:rPr>
            </w:pPr>
            <w:r w:rsidRPr="005335FE">
              <w:rPr>
                <w:rFonts w:ascii="Arial" w:hAnsi="Arial" w:cs="Arial"/>
                <w:bCs/>
                <w:caps/>
                <w:sz w:val="24"/>
                <w:szCs w:val="24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4E31" w14:textId="40B79463" w:rsidR="000F35EC" w:rsidRPr="005335FE" w:rsidRDefault="003514D4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Kierownik klubu młodzieżowego.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76A2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godzina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ED9B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nie więcej niż 100,00 zł 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3B76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Wydatek kwalifikowalny o ile kierownik </w:t>
            </w:r>
          </w:p>
          <w:p w14:paraId="619CA412" w14:textId="79AAA12E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posiada </w:t>
            </w:r>
            <w:r w:rsidR="0099668E" w:rsidRPr="005335FE">
              <w:rPr>
                <w:rFonts w:ascii="Arial" w:hAnsi="Arial" w:cs="Arial"/>
                <w:sz w:val="24"/>
                <w:szCs w:val="24"/>
              </w:rPr>
              <w:t>odpowiednie udokumentowane  kwalifikacje</w:t>
            </w:r>
            <w:r w:rsidRPr="005335FE">
              <w:rPr>
                <w:rFonts w:ascii="Arial" w:hAnsi="Arial" w:cs="Arial"/>
                <w:sz w:val="24"/>
                <w:szCs w:val="24"/>
              </w:rPr>
              <w:t xml:space="preserve"> – weryfikacja na podstawie CV</w:t>
            </w:r>
            <w:r w:rsidR="00FC2211" w:rsidRPr="005335FE">
              <w:rPr>
                <w:rFonts w:ascii="Arial" w:hAnsi="Arial" w:cs="Arial"/>
                <w:sz w:val="24"/>
                <w:szCs w:val="24"/>
              </w:rPr>
              <w:t xml:space="preserve"> i załąc</w:t>
            </w:r>
            <w:r w:rsidR="0099668E" w:rsidRPr="005335FE">
              <w:rPr>
                <w:rFonts w:ascii="Arial" w:hAnsi="Arial" w:cs="Arial"/>
                <w:sz w:val="24"/>
                <w:szCs w:val="24"/>
              </w:rPr>
              <w:t>zników</w:t>
            </w:r>
            <w:r w:rsidR="003514D4" w:rsidRPr="005335F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2433" w14:textId="77777777" w:rsidR="000F35EC" w:rsidRPr="005335FE" w:rsidRDefault="000F35EC" w:rsidP="0035515D">
            <w:pPr>
              <w:spacing w:after="0"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Stawkę przyjęto na podstawie doświadczenia z realizacji grantów w okresie 2014-2020 (kluby młodzieżowe) z uwzględnieniem wzrostu poziomu cen wynikających z wysokiej inflacji </w:t>
            </w:r>
          </w:p>
        </w:tc>
      </w:tr>
      <w:tr w:rsidR="00254DFD" w:rsidRPr="005335FE" w14:paraId="7F170C37" w14:textId="77777777" w:rsidTr="003514D4">
        <w:trPr>
          <w:trHeight w:val="699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20B526C2" w14:textId="50546983" w:rsidR="000F35EC" w:rsidRPr="005335FE" w:rsidRDefault="00005F22" w:rsidP="0035515D">
            <w:pPr>
              <w:pStyle w:val="Akapitzlist"/>
              <w:spacing w:after="0" w:line="276" w:lineRule="auto"/>
              <w:ind w:left="0"/>
              <w:rPr>
                <w:rFonts w:ascii="Arial" w:eastAsia="Calibri" w:hAnsi="Arial" w:cs="Arial"/>
                <w:bCs/>
                <w:caps/>
                <w:sz w:val="24"/>
                <w:szCs w:val="24"/>
              </w:rPr>
            </w:pPr>
            <w:r w:rsidRPr="005335FE">
              <w:rPr>
                <w:rFonts w:ascii="Arial" w:eastAsia="Calibri" w:hAnsi="Arial" w:cs="Arial"/>
                <w:bCs/>
                <w:caps/>
                <w:sz w:val="24"/>
                <w:szCs w:val="24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9C45" w14:textId="51FE5325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Asystent osoby </w:t>
            </w:r>
            <w:r w:rsidR="00C040AF" w:rsidRPr="005335FE">
              <w:rPr>
                <w:rFonts w:ascii="Arial" w:hAnsi="Arial" w:cs="Arial"/>
                <w:sz w:val="24"/>
                <w:szCs w:val="24"/>
              </w:rPr>
              <w:t>z niepełnosprawnością</w:t>
            </w:r>
            <w:r w:rsidRPr="005335FE">
              <w:rPr>
                <w:rFonts w:ascii="Arial" w:hAnsi="Arial" w:cs="Arial"/>
                <w:sz w:val="24"/>
                <w:szCs w:val="24"/>
              </w:rPr>
              <w:t xml:space="preserve"> (AON)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DAF4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godzina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C551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nie więcej niż 60,00 zł</w:t>
            </w:r>
          </w:p>
          <w:p w14:paraId="5D0585DF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A6DC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Warunkiem zaangażowania w projekcie AON jest ukończone kształcenie w zawodzie asystenta osoby niepełnosprawnej zgodnie z rozporządzeniem Ministra Edukacji Narodowej z dnia 7 lutego 2012 r. w sprawie podstawy programowej kształcenia w zawodach (Dz.U. 2012 poz. 184 ze zm.) – weryfikacja na podstawie CV oraz dokument potwierdzający kształcenie w zawodzie.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2083" w14:textId="77777777" w:rsidR="000F35EC" w:rsidRPr="005335FE" w:rsidRDefault="000F35EC" w:rsidP="0035515D">
            <w:pPr>
              <w:spacing w:after="0" w:line="276" w:lineRule="auto"/>
              <w:outlineLvl w:val="2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</w:pPr>
            <w:r w:rsidRPr="005335F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Stawkę przyjęto na podstawie telefonicznego rozeznania cenowego </w:t>
            </w:r>
          </w:p>
        </w:tc>
      </w:tr>
      <w:tr w:rsidR="00254DFD" w:rsidRPr="005335FE" w14:paraId="4CA77332" w14:textId="77777777" w:rsidTr="003514D4">
        <w:trPr>
          <w:trHeight w:val="2842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323C96E3" w14:textId="3EAA6483" w:rsidR="000F35EC" w:rsidRPr="005335FE" w:rsidRDefault="00005F22" w:rsidP="0035515D">
            <w:pPr>
              <w:pStyle w:val="Akapitzlist"/>
              <w:spacing w:after="0" w:line="276" w:lineRule="auto"/>
              <w:ind w:left="0"/>
              <w:rPr>
                <w:rFonts w:ascii="Arial" w:eastAsia="Calibri" w:hAnsi="Arial" w:cs="Arial"/>
                <w:bCs/>
                <w:caps/>
                <w:sz w:val="24"/>
                <w:szCs w:val="24"/>
              </w:rPr>
            </w:pPr>
            <w:r w:rsidRPr="005335FE">
              <w:rPr>
                <w:rFonts w:ascii="Arial" w:eastAsia="Calibri" w:hAnsi="Arial" w:cs="Arial"/>
                <w:bCs/>
                <w:caps/>
                <w:sz w:val="24"/>
                <w:szCs w:val="24"/>
              </w:rPr>
              <w:lastRenderedPageBreak/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55483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Psycholog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FB76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godzina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977D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  <w:p w14:paraId="2ADE640A" w14:textId="02A13184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nie więcej niż</w:t>
            </w:r>
            <w:r w:rsidR="00005F22" w:rsidRPr="005335FE">
              <w:rPr>
                <w:rFonts w:ascii="Arial" w:hAnsi="Arial" w:cs="Arial"/>
                <w:sz w:val="24"/>
                <w:szCs w:val="24"/>
              </w:rPr>
              <w:t xml:space="preserve"> 17</w:t>
            </w:r>
            <w:r w:rsidRPr="005335FE">
              <w:rPr>
                <w:rFonts w:ascii="Arial" w:hAnsi="Arial" w:cs="Arial"/>
                <w:sz w:val="24"/>
                <w:szCs w:val="24"/>
              </w:rPr>
              <w:t xml:space="preserve">0,00 zł – wparcie indywidualne </w:t>
            </w:r>
          </w:p>
          <w:p w14:paraId="30B08E01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04482F3" w14:textId="6A1EE7AA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nie więcej niż</w:t>
            </w:r>
            <w:r w:rsidR="00005F22" w:rsidRPr="005335FE">
              <w:rPr>
                <w:rFonts w:ascii="Arial" w:hAnsi="Arial" w:cs="Arial"/>
                <w:sz w:val="24"/>
                <w:szCs w:val="24"/>
              </w:rPr>
              <w:t xml:space="preserve"> 19</w:t>
            </w:r>
            <w:r w:rsidRPr="005335FE">
              <w:rPr>
                <w:rFonts w:ascii="Arial" w:hAnsi="Arial" w:cs="Arial"/>
                <w:sz w:val="24"/>
                <w:szCs w:val="24"/>
              </w:rPr>
              <w:t xml:space="preserve">0,00 zł – wsparcie grupowe </w:t>
            </w:r>
          </w:p>
          <w:p w14:paraId="5F605BCC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91CE" w14:textId="1E390630" w:rsidR="000F35EC" w:rsidRPr="005335FE" w:rsidRDefault="003514D4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>Wydatek kwalifikowalny, o ile jest to uzasadnione specyfiką realizowanego projektu.</w:t>
            </w:r>
          </w:p>
          <w:p w14:paraId="5A1C54E4" w14:textId="2581C3AA" w:rsidR="000F35EC" w:rsidRPr="005335FE" w:rsidRDefault="003514D4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>Wydatek kwalifikowalny, o ile psycholog posiada wykształcenie lub kwalifikacje umożliwiające prowadzenie danego wsparcia – weryfikacja na podstawie CV oraz dokumentu potwierdzającego kwalifikacje lub kompetencje zawodowe np. certyfikatu, dyplomu, zaświadczenia, świadectwa lub innego dokumentu.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8C7E" w14:textId="77777777" w:rsidR="000F35EC" w:rsidRPr="005335FE" w:rsidRDefault="000F35EC" w:rsidP="0035515D">
            <w:pPr>
              <w:spacing w:after="0"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Stawkę przyjęto na podstawie porównania cenowego ofert internetowych (cenników) </w:t>
            </w:r>
          </w:p>
        </w:tc>
      </w:tr>
      <w:tr w:rsidR="00254DFD" w:rsidRPr="005335FE" w14:paraId="736D489D" w14:textId="77777777" w:rsidTr="003514D4">
        <w:trPr>
          <w:trHeight w:val="424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3931654A" w14:textId="1724E514" w:rsidR="000F35EC" w:rsidRPr="005335FE" w:rsidRDefault="00005F22" w:rsidP="0035515D">
            <w:pPr>
              <w:pStyle w:val="Akapitzlist"/>
              <w:spacing w:after="0" w:line="276" w:lineRule="auto"/>
              <w:ind w:left="0"/>
              <w:rPr>
                <w:rFonts w:ascii="Arial" w:eastAsia="Calibri" w:hAnsi="Arial" w:cs="Arial"/>
                <w:bCs/>
                <w:caps/>
                <w:sz w:val="24"/>
                <w:szCs w:val="24"/>
              </w:rPr>
            </w:pPr>
            <w:r w:rsidRPr="005335FE">
              <w:rPr>
                <w:rFonts w:ascii="Arial" w:eastAsia="Calibri" w:hAnsi="Arial" w:cs="Arial"/>
                <w:bCs/>
                <w:caps/>
                <w:sz w:val="24"/>
                <w:szCs w:val="24"/>
              </w:rPr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883F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Trener/ szkoleniowiec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B3DA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godzina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794C" w14:textId="660E834E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nie więcej niż </w:t>
            </w:r>
            <w:r w:rsidR="00005F22" w:rsidRPr="005335FE">
              <w:rPr>
                <w:rFonts w:ascii="Arial" w:hAnsi="Arial" w:cs="Arial"/>
                <w:sz w:val="24"/>
                <w:szCs w:val="24"/>
              </w:rPr>
              <w:t>15</w:t>
            </w:r>
            <w:r w:rsidRPr="005335FE">
              <w:rPr>
                <w:rFonts w:ascii="Arial" w:hAnsi="Arial" w:cs="Arial"/>
                <w:sz w:val="24"/>
                <w:szCs w:val="24"/>
              </w:rPr>
              <w:t xml:space="preserve">0,00 zł  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6745" w14:textId="538A60AF" w:rsidR="000F35EC" w:rsidRPr="005335FE" w:rsidRDefault="003514D4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>Wydatek kwalifikowalny, o ile jest to uzasadnione specyfiką realizowanego projektu.</w:t>
            </w:r>
          </w:p>
          <w:p w14:paraId="3DA2BC46" w14:textId="7EAC05D8" w:rsidR="000F35EC" w:rsidRPr="005335FE" w:rsidRDefault="003514D4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>Wydatek kwalifikowalny, o ile trener/szkoleniowiec posiada doświadczenie lub kwalifikacje lub kompetencje umożliwiające prowadzenie danego wsparcia – weryfikacja na podstawie CV oraz w przypadku kwalifikacji lub kompetencji dodatkowo dokumentu potwierdzającego kwalifikacje lub kompetencje np. dyplomu, certyfikatu, zaświadczenia, świadectwa lub innego dokumentu.</w:t>
            </w:r>
          </w:p>
          <w:p w14:paraId="271DAD29" w14:textId="28691B5E" w:rsidR="000F35EC" w:rsidRPr="005335FE" w:rsidRDefault="003514D4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 xml:space="preserve">Wysokość stawki każdorazowo uzależniona od rodzaju kwalifikacji lub </w:t>
            </w:r>
            <w:r w:rsidR="000F35EC" w:rsidRPr="00B35F4F">
              <w:rPr>
                <w:rFonts w:ascii="Arial" w:hAnsi="Arial" w:cs="Arial"/>
                <w:sz w:val="24"/>
                <w:szCs w:val="24"/>
              </w:rPr>
              <w:t xml:space="preserve">kompetencji lub doświadczenia 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 xml:space="preserve">osoby udzielającej wsparcia (np. 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lastRenderedPageBreak/>
              <w:t>zróżnicowana stawka dla fizjoterapeuty</w:t>
            </w:r>
            <w:r w:rsidR="005F7DE3" w:rsidRPr="005335FE">
              <w:rPr>
                <w:rFonts w:ascii="Arial" w:hAnsi="Arial" w:cs="Arial"/>
                <w:sz w:val="24"/>
                <w:szCs w:val="24"/>
              </w:rPr>
              <w:t>,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 xml:space="preserve"> gdzie wymagane są określone kwalifikacje, oraz inna dla trenera/szkoleniowca np. zajęć rękodzieła gdzie nie są wymagane kwalifikacje). 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CEAB" w14:textId="77777777" w:rsidR="000F35EC" w:rsidRPr="005335FE" w:rsidRDefault="000F35EC" w:rsidP="0035515D">
            <w:pPr>
              <w:spacing w:after="0" w:line="276" w:lineRule="auto"/>
              <w:outlineLvl w:val="2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lastRenderedPageBreak/>
              <w:t>Stawkę przyjęto na podstawie porównania cenowego ofert internetowych (cenników) oraz rozeznania telefonicznego  – stawkę uśredniono</w:t>
            </w:r>
          </w:p>
        </w:tc>
      </w:tr>
      <w:tr w:rsidR="00254DFD" w:rsidRPr="005335FE" w14:paraId="5BDB2CE2" w14:textId="77777777" w:rsidTr="003514D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6EBDD49D" w14:textId="14DB7F96" w:rsidR="000F35EC" w:rsidRPr="005335FE" w:rsidRDefault="00C20000" w:rsidP="0035515D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bCs/>
                <w:caps/>
                <w:sz w:val="24"/>
                <w:szCs w:val="24"/>
              </w:rPr>
            </w:pPr>
            <w:r w:rsidRPr="005335FE">
              <w:rPr>
                <w:rFonts w:ascii="Arial" w:hAnsi="Arial" w:cs="Arial"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736A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Transport uczestników  – wynajem autobusu/ busa z kierowcą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25E09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kilometr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3F68" w14:textId="1F3A23D8" w:rsidR="000F35EC" w:rsidRPr="005335FE" w:rsidRDefault="00D13033" w:rsidP="0035515D">
            <w:pPr>
              <w:spacing w:after="0" w:line="276" w:lineRule="auto"/>
              <w:rPr>
                <w:rFonts w:ascii="Arial" w:hAnsi="Arial" w:cs="Arial"/>
                <w:color w:val="975CCB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nie więcej niż 6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 xml:space="preserve">,20 zł 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6534" w14:textId="77777777" w:rsidR="000F35EC" w:rsidRPr="005335FE" w:rsidRDefault="000F35EC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Wydatek kwalifikowalny, o ile jest to uzasadnione specyfiką realizowanego projektu.</w:t>
            </w:r>
          </w:p>
          <w:p w14:paraId="069E4F71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4379" w14:textId="77777777" w:rsidR="000F35EC" w:rsidRPr="005335FE" w:rsidRDefault="000F35EC" w:rsidP="0035515D">
            <w:pPr>
              <w:spacing w:after="0" w:line="276" w:lineRule="auto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pl-PL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Stawkę przyjęto na podstawie porównania cenowego ofert internetowych (cenników) oraz rozeznania telefonicznego</w:t>
            </w:r>
          </w:p>
        </w:tc>
      </w:tr>
      <w:tr w:rsidR="00254DFD" w:rsidRPr="005335FE" w14:paraId="22E876B9" w14:textId="77777777" w:rsidTr="003514D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0255AF3A" w14:textId="61086600" w:rsidR="000F35EC" w:rsidRPr="005335FE" w:rsidRDefault="00C20000" w:rsidP="0035515D">
            <w:pPr>
              <w:pStyle w:val="Akapitzlist"/>
              <w:spacing w:after="0" w:line="276" w:lineRule="auto"/>
              <w:ind w:left="0"/>
              <w:rPr>
                <w:rFonts w:ascii="Arial" w:eastAsia="Calibri" w:hAnsi="Arial" w:cs="Arial"/>
                <w:bCs/>
                <w:caps/>
                <w:sz w:val="24"/>
                <w:szCs w:val="24"/>
                <w:highlight w:val="yellow"/>
              </w:rPr>
            </w:pPr>
            <w:r w:rsidRPr="005335FE">
              <w:rPr>
                <w:rFonts w:ascii="Arial" w:eastAsia="Calibri" w:hAnsi="Arial" w:cs="Arial"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F560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Transport uczestników  – wynajem autobusu/ busa z kierowcą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2B49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Usługa (trasa do 30 km)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A5DF8" w14:textId="79835B47" w:rsidR="000F35EC" w:rsidRPr="005335FE" w:rsidRDefault="00534AB1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130,00 zł</w:t>
            </w:r>
            <w:r w:rsidR="00C20000" w:rsidRPr="005335FE">
              <w:rPr>
                <w:rFonts w:ascii="Arial" w:hAnsi="Arial" w:cs="Arial"/>
                <w:sz w:val="24"/>
                <w:szCs w:val="24"/>
              </w:rPr>
              <w:t xml:space="preserve"> za godzinę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D3C0" w14:textId="77777777" w:rsidR="000F35EC" w:rsidRPr="005335FE" w:rsidRDefault="000F35EC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Wydatek kwalifikowalny, o ile jest to uzasadnione specyfiką realizowanego projektu.</w:t>
            </w:r>
          </w:p>
          <w:p w14:paraId="55CF52BA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8B94" w14:textId="77777777" w:rsidR="000F35EC" w:rsidRPr="005335FE" w:rsidRDefault="000F35EC" w:rsidP="0035515D">
            <w:pPr>
              <w:spacing w:after="0" w:line="276" w:lineRule="auto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highlight w:val="yellow"/>
                <w:lang w:eastAsia="pl-PL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Stawkę przyjęto na podstawie porównania cenowego ofert internetowych (cenników) oraz rozeznania telefonicznego</w:t>
            </w:r>
          </w:p>
        </w:tc>
      </w:tr>
      <w:tr w:rsidR="00254DFD" w:rsidRPr="005335FE" w14:paraId="284CCC0E" w14:textId="77777777" w:rsidTr="003514D4">
        <w:trPr>
          <w:trHeight w:val="557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4B1F5566" w14:textId="3916975F" w:rsidR="000F35EC" w:rsidRPr="005335FE" w:rsidRDefault="00C20000" w:rsidP="00F52F4E">
            <w:pPr>
              <w:spacing w:after="0" w:line="276" w:lineRule="auto"/>
              <w:rPr>
                <w:rFonts w:ascii="Arial" w:eastAsia="Calibri" w:hAnsi="Arial" w:cs="Arial"/>
                <w:bCs/>
                <w:caps/>
                <w:sz w:val="24"/>
                <w:szCs w:val="24"/>
              </w:rPr>
            </w:pPr>
            <w:r w:rsidRPr="005335FE">
              <w:rPr>
                <w:rFonts w:ascii="Arial" w:eastAsia="Calibri" w:hAnsi="Arial" w:cs="Arial"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BFAC2" w14:textId="77777777" w:rsidR="000F35EC" w:rsidRPr="005335FE" w:rsidRDefault="000F35EC" w:rsidP="0035515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Wynajem sali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89A5" w14:textId="77777777" w:rsidR="000F35EC" w:rsidRPr="005335FE" w:rsidRDefault="000F35EC" w:rsidP="0035515D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godzina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3603" w14:textId="43E6E268" w:rsidR="000F35EC" w:rsidRPr="005335FE" w:rsidRDefault="000F35EC" w:rsidP="0035515D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nie więcej niż 1</w:t>
            </w:r>
            <w:r w:rsidR="004C304C" w:rsidRPr="005335FE">
              <w:rPr>
                <w:rFonts w:ascii="Arial" w:hAnsi="Arial" w:cs="Arial"/>
                <w:sz w:val="24"/>
                <w:szCs w:val="24"/>
              </w:rPr>
              <w:t>0</w:t>
            </w:r>
            <w:r w:rsidRPr="005335F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FE56" w14:textId="04509E65" w:rsidR="000F35EC" w:rsidRPr="005335FE" w:rsidRDefault="003514D4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>Wydatek kwalifikowalny, o ile jest to uzasadnione specyfiką realizowanego projektu.</w:t>
            </w:r>
          </w:p>
          <w:p w14:paraId="073DFCA4" w14:textId="5B05C53D" w:rsidR="000F35EC" w:rsidRPr="005335FE" w:rsidRDefault="003514D4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>Koszt obejmuje wynajem sali szkoleniowej, warsztatowej, komputerowej.</w:t>
            </w:r>
          </w:p>
          <w:p w14:paraId="7011D96C" w14:textId="2F482B6B" w:rsidR="000F35EC" w:rsidRPr="005335FE" w:rsidRDefault="003514D4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5F7DE3" w:rsidRPr="005335FE">
              <w:rPr>
                <w:rFonts w:ascii="Arial" w:hAnsi="Arial" w:cs="Arial"/>
                <w:sz w:val="24"/>
                <w:szCs w:val="24"/>
              </w:rPr>
              <w:t>Wysokość kosztu uzależniona jest od kompletności oferty: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 xml:space="preserve"> wynajem sali wraz z wyposażeniem czy bez. </w:t>
            </w:r>
          </w:p>
          <w:p w14:paraId="77CEE6C3" w14:textId="03DB9788" w:rsidR="000F35EC" w:rsidRPr="005335FE" w:rsidRDefault="003514D4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>Wydatek dotyczy również siedziby klubu seniora.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C1A5" w14:textId="77777777" w:rsidR="000F35EC" w:rsidRPr="005335FE" w:rsidRDefault="000F35EC" w:rsidP="0035515D">
            <w:pPr>
              <w:spacing w:after="0" w:line="276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Stawkę przyjęto na podstawie porównania cenowego ofert internetowych (cenników) oraz rozeznania telefonicznego</w:t>
            </w:r>
          </w:p>
        </w:tc>
      </w:tr>
      <w:tr w:rsidR="00254DFD" w:rsidRPr="005335FE" w14:paraId="5083103C" w14:textId="77777777" w:rsidTr="003514D4">
        <w:trPr>
          <w:trHeight w:val="69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24284243" w14:textId="21CEC27B" w:rsidR="000F35EC" w:rsidRPr="005335FE" w:rsidRDefault="00C20000" w:rsidP="0035515D">
            <w:pPr>
              <w:spacing w:after="0" w:line="276" w:lineRule="auto"/>
              <w:rPr>
                <w:rFonts w:ascii="Arial" w:hAnsi="Arial" w:cs="Arial"/>
                <w:color w:val="323E4F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323E4F"/>
                <w:sz w:val="24"/>
                <w:szCs w:val="24"/>
              </w:rPr>
              <w:lastRenderedPageBreak/>
              <w:t>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D916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Drobny poczęstunek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E52E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osoba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D46C" w14:textId="207A2015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nie więcej niż</w:t>
            </w:r>
            <w:r w:rsidR="00822358" w:rsidRPr="005335FE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5335FE">
              <w:rPr>
                <w:rFonts w:ascii="Arial" w:hAnsi="Arial" w:cs="Arial"/>
                <w:sz w:val="24"/>
                <w:szCs w:val="24"/>
              </w:rPr>
              <w:t>,00 zł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34B7" w14:textId="530B0E2F" w:rsidR="000F35EC" w:rsidRPr="005335FE" w:rsidRDefault="003514D4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>Wydatek kwalifikowalny, o ile jest to uzasadnione specyfiką realizowanego projektu.</w:t>
            </w:r>
          </w:p>
          <w:p w14:paraId="0396FF2A" w14:textId="1D406E40" w:rsidR="000F35EC" w:rsidRPr="005335FE" w:rsidRDefault="003514D4" w:rsidP="003514D4">
            <w:pPr>
              <w:spacing w:after="0" w:line="276" w:lineRule="auto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 xml:space="preserve">Wydatek obejmuje kawę, herbatę wraz z dodatkami oraz słodkie i słone przekąski, ciasto, kanapki, etc.  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A7F4" w14:textId="77777777" w:rsidR="000F35EC" w:rsidRPr="005335FE" w:rsidRDefault="000F35EC" w:rsidP="0035515D">
            <w:pPr>
              <w:spacing w:after="0" w:line="276" w:lineRule="auto"/>
              <w:rPr>
                <w:rFonts w:ascii="Arial" w:eastAsia="Times New Roman" w:hAnsi="Arial" w:cs="Arial"/>
                <w:color w:val="000000"/>
                <w:kern w:val="36"/>
                <w:sz w:val="24"/>
                <w:szCs w:val="24"/>
                <w:lang w:eastAsia="pl-PL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Stawkę przyjęto na podstawie doświadczenia LGD w realizacji zadań podobnego typu.</w:t>
            </w:r>
          </w:p>
        </w:tc>
      </w:tr>
      <w:tr w:rsidR="001D4FE8" w:rsidRPr="005335FE" w14:paraId="37982611" w14:textId="77777777" w:rsidTr="003514D4">
        <w:trPr>
          <w:trHeight w:val="693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72161EDB" w14:textId="2B2B283D" w:rsidR="001D4FE8" w:rsidRPr="005335FE" w:rsidRDefault="001D4FE8" w:rsidP="001D4FE8">
            <w:pPr>
              <w:spacing w:after="0" w:line="276" w:lineRule="auto"/>
              <w:rPr>
                <w:rFonts w:ascii="Arial" w:hAnsi="Arial" w:cs="Arial"/>
                <w:color w:val="323E4F"/>
                <w:sz w:val="24"/>
                <w:szCs w:val="24"/>
              </w:rPr>
            </w:pPr>
            <w:r w:rsidRPr="005335FE">
              <w:rPr>
                <w:rFonts w:ascii="Arial" w:eastAsia="Calibri" w:hAnsi="Arial" w:cs="Arial"/>
                <w:bCs/>
                <w:caps/>
                <w:sz w:val="24"/>
                <w:szCs w:val="24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AE05" w14:textId="31B381CE" w:rsidR="001D4FE8" w:rsidRPr="005335FE" w:rsidRDefault="001D4FE8" w:rsidP="001D4FE8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Lunch / obiad / kolacja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D667" w14:textId="4E8786EA" w:rsidR="001D4FE8" w:rsidRPr="005335FE" w:rsidRDefault="001D4FE8" w:rsidP="001D4FE8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osoba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E611" w14:textId="404F98FF" w:rsidR="001D4FE8" w:rsidRPr="005335FE" w:rsidRDefault="001D4FE8" w:rsidP="001D4FE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nie więcej niż </w:t>
            </w: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50,00 zł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4E3F" w14:textId="3EDABE7D" w:rsidR="001D4FE8" w:rsidRPr="005335FE" w:rsidRDefault="003514D4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D4FE8" w:rsidRPr="005335FE">
              <w:rPr>
                <w:rFonts w:ascii="Arial" w:hAnsi="Arial" w:cs="Arial"/>
                <w:sz w:val="24"/>
                <w:szCs w:val="24"/>
              </w:rPr>
              <w:t>Wydatek kwalifikowalny, o ile jest to uzasadnione specyfiką realizowanego projektu.</w:t>
            </w:r>
          </w:p>
          <w:p w14:paraId="3B9F9809" w14:textId="160DE3B1" w:rsidR="001D4FE8" w:rsidRPr="005335FE" w:rsidRDefault="003514D4" w:rsidP="003514D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1D4FE8"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Wydatek kwalifikowalny, o ile projekt zakłada </w:t>
            </w:r>
            <w:r w:rsidR="001D4FE8" w:rsidRPr="005335FE">
              <w:rPr>
                <w:rFonts w:ascii="Arial" w:hAnsi="Arial" w:cs="Arial"/>
                <w:sz w:val="24"/>
                <w:szCs w:val="24"/>
              </w:rPr>
              <w:t xml:space="preserve">wsparcie min. 4 godz. dla tej samej grupy </w:t>
            </w:r>
            <w:r w:rsidR="001D4FE8"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osób. </w:t>
            </w:r>
          </w:p>
          <w:p w14:paraId="7498603E" w14:textId="0894415B" w:rsidR="001D4FE8" w:rsidRPr="005335FE" w:rsidRDefault="003514D4" w:rsidP="003514D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1D4FE8" w:rsidRPr="005335FE">
              <w:rPr>
                <w:rFonts w:ascii="Arial" w:hAnsi="Arial" w:cs="Arial"/>
                <w:color w:val="000000"/>
                <w:sz w:val="24"/>
                <w:szCs w:val="24"/>
              </w:rPr>
              <w:t>W przypadku kolacji wydatek kwalifikowalny, o ile finansowana jest usługa noclegowa.</w:t>
            </w:r>
          </w:p>
          <w:p w14:paraId="14B11599" w14:textId="0DE3BB28" w:rsidR="001D4FE8" w:rsidRPr="005335FE" w:rsidRDefault="003514D4" w:rsidP="003514D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1D4FE8"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Lunch/ obiad - obejmuje min. dwa dania (zupa i drugie danie) oraz napój. </w:t>
            </w:r>
          </w:p>
          <w:p w14:paraId="3D51D9F1" w14:textId="454E7945" w:rsidR="001D4FE8" w:rsidRPr="005335FE" w:rsidRDefault="003514D4" w:rsidP="003514D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1D4FE8"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Kolacja – obejmuje min. 2 dania na ciepło,  pieczywo z dodatkami, wędliny, sery, warzywa.   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C22" w14:textId="6AB2A59D" w:rsidR="001D4FE8" w:rsidRPr="005335FE" w:rsidRDefault="001D4FE8" w:rsidP="001D4FE8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Stawkę przyjęto na podstawie doświadczenia LGD w realizacji zadań podobnego typu.</w:t>
            </w:r>
          </w:p>
        </w:tc>
      </w:tr>
      <w:tr w:rsidR="00254DFD" w:rsidRPr="005335FE" w14:paraId="3ED2104D" w14:textId="77777777" w:rsidTr="003514D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1282D786" w14:textId="37F21D79" w:rsidR="000F35EC" w:rsidRPr="005335FE" w:rsidRDefault="00C20000" w:rsidP="0035515D">
            <w:pPr>
              <w:pStyle w:val="Akapitzlist"/>
              <w:spacing w:after="0" w:line="276" w:lineRule="auto"/>
              <w:ind w:left="0"/>
              <w:rPr>
                <w:rFonts w:ascii="Arial" w:eastAsia="Calibri" w:hAnsi="Arial" w:cs="Arial"/>
                <w:bCs/>
                <w:caps/>
                <w:sz w:val="24"/>
                <w:szCs w:val="24"/>
              </w:rPr>
            </w:pPr>
            <w:r w:rsidRPr="005335FE">
              <w:rPr>
                <w:rFonts w:ascii="Arial" w:eastAsia="Calibri" w:hAnsi="Arial" w:cs="Arial"/>
                <w:bCs/>
                <w:caps/>
                <w:sz w:val="24"/>
                <w:szCs w:val="24"/>
              </w:rPr>
              <w:t>11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DCB6" w14:textId="59DB8B44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Bilet do kina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1253" w14:textId="294AF78A" w:rsidR="000F35EC" w:rsidRPr="005335FE" w:rsidRDefault="001C6DC8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osoba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DCAF" w14:textId="7011118F" w:rsidR="000F35EC" w:rsidRPr="005335FE" w:rsidRDefault="00FC2211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nie więcej niż 3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>0,00 zł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9F1" w14:textId="77777777" w:rsidR="000F35EC" w:rsidRPr="005335FE" w:rsidRDefault="000F35EC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Wydatek kwalifikowalny, o ile jest to uzasadnione specyfiką realizowanego projektu.</w:t>
            </w:r>
          </w:p>
          <w:p w14:paraId="709C809E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2715" w14:textId="77777777" w:rsidR="000F35EC" w:rsidRPr="005335FE" w:rsidRDefault="000F35EC" w:rsidP="0035515D">
            <w:pPr>
              <w:spacing w:after="0" w:line="276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Stawkę przyjęto na podstawie porównania cenowego ofert internetowych (cenników) – stawkę uśredniono.</w:t>
            </w:r>
          </w:p>
          <w:p w14:paraId="5D8B29DE" w14:textId="77777777" w:rsidR="000F35EC" w:rsidRPr="005335FE" w:rsidRDefault="000F35EC" w:rsidP="0035515D">
            <w:pPr>
              <w:spacing w:after="0" w:line="276" w:lineRule="auto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Cena uzależniona od przysługujących ulg oraz od rodzaju wyświetlanego formatu (3D, 4D)</w:t>
            </w:r>
          </w:p>
        </w:tc>
      </w:tr>
      <w:tr w:rsidR="00254DFD" w:rsidRPr="005335FE" w14:paraId="19ACD602" w14:textId="77777777" w:rsidTr="003514D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1BC82DF8" w14:textId="5B4D9904" w:rsidR="000F35EC" w:rsidRPr="005335FE" w:rsidRDefault="00C20000" w:rsidP="0035515D">
            <w:pPr>
              <w:pStyle w:val="Akapitzlist"/>
              <w:spacing w:after="0" w:line="276" w:lineRule="auto"/>
              <w:ind w:left="0"/>
              <w:rPr>
                <w:rFonts w:ascii="Arial" w:eastAsia="Calibri" w:hAnsi="Arial" w:cs="Arial"/>
                <w:bCs/>
                <w:caps/>
                <w:sz w:val="24"/>
                <w:szCs w:val="24"/>
              </w:rPr>
            </w:pPr>
            <w:r w:rsidRPr="005335FE">
              <w:rPr>
                <w:rFonts w:ascii="Arial" w:eastAsia="Calibri" w:hAnsi="Arial" w:cs="Arial"/>
                <w:bCs/>
                <w:caps/>
                <w:sz w:val="24"/>
                <w:szCs w:val="24"/>
              </w:rPr>
              <w:t>12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4E52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Bilet wstępu na wydarzenia artystyczn</w:t>
            </w: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e i kulturalne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87B8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sztuka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B350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nie więcej niż </w:t>
            </w: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130,00 zł  </w:t>
            </w:r>
          </w:p>
          <w:p w14:paraId="3CC04ED9" w14:textId="77777777" w:rsidR="00B6288C" w:rsidRPr="005335FE" w:rsidRDefault="00B6288C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ACBB" w14:textId="50F113C8" w:rsidR="000F35EC" w:rsidRPr="005335FE" w:rsidRDefault="003514D4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>Wydatek kwalifikowalny, o ile jest to uzasadnione specyfiką realizowanego projektu.</w:t>
            </w:r>
          </w:p>
          <w:p w14:paraId="13F849DE" w14:textId="63805C02" w:rsidR="000F35EC" w:rsidRPr="005335FE" w:rsidRDefault="003514D4" w:rsidP="003514D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0F35EC"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Wydatek obejmuje m.in. bilety do teatru, filharmonii, opery, etc. </w:t>
            </w:r>
          </w:p>
          <w:p w14:paraId="37368B83" w14:textId="4A63D5E2" w:rsidR="000F35EC" w:rsidRPr="005335FE" w:rsidRDefault="003514D4" w:rsidP="003514D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- </w:t>
            </w:r>
            <w:r w:rsidR="005F7DE3" w:rsidRPr="005335FE">
              <w:rPr>
                <w:rFonts w:ascii="Arial" w:hAnsi="Arial" w:cs="Arial"/>
                <w:color w:val="000000"/>
                <w:sz w:val="24"/>
                <w:szCs w:val="24"/>
              </w:rPr>
              <w:t>Wydatek uzależniony jest</w:t>
            </w:r>
            <w:r w:rsidR="000F35EC"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  od nr miejsca i rodzaju wydarzenia.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ED77" w14:textId="77777777" w:rsidR="000F35EC" w:rsidRPr="005335FE" w:rsidRDefault="000F35EC" w:rsidP="0035515D">
            <w:pPr>
              <w:spacing w:after="0" w:line="276" w:lineRule="auto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pl-PL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Stawkę przyjęto na podstawie porównania cenowego ofert internetowych (cenników) – stawkę uśredniono. </w:t>
            </w:r>
          </w:p>
        </w:tc>
      </w:tr>
      <w:tr w:rsidR="00254DFD" w:rsidRPr="005335FE" w14:paraId="4F910E58" w14:textId="77777777" w:rsidTr="003514D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169AD429" w14:textId="125BAF7A" w:rsidR="000F35EC" w:rsidRPr="005335FE" w:rsidRDefault="00C20000" w:rsidP="0035515D">
            <w:pPr>
              <w:pStyle w:val="Akapitzlist"/>
              <w:spacing w:after="0" w:line="276" w:lineRule="auto"/>
              <w:ind w:left="0"/>
              <w:rPr>
                <w:rFonts w:ascii="Arial" w:eastAsia="Calibri" w:hAnsi="Arial" w:cs="Arial"/>
                <w:bCs/>
                <w:caps/>
                <w:sz w:val="24"/>
                <w:szCs w:val="24"/>
              </w:rPr>
            </w:pPr>
            <w:r w:rsidRPr="005335FE">
              <w:rPr>
                <w:rFonts w:ascii="Arial" w:eastAsia="Calibri" w:hAnsi="Arial" w:cs="Arial"/>
                <w:bCs/>
                <w:caps/>
                <w:sz w:val="24"/>
                <w:szCs w:val="24"/>
              </w:rPr>
              <w:t>13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DCAB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Bilet wstępu na kręgle (bowling)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79AA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godzina/tor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5E07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nie więcej niż </w:t>
            </w: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125,00 zł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0258" w14:textId="378AED2B" w:rsidR="000F35EC" w:rsidRPr="005335FE" w:rsidRDefault="003514D4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>Wydatek kwalifikowalny, o ile jest to uzasadnione specyfiką realizowanego projektu.</w:t>
            </w:r>
          </w:p>
          <w:p w14:paraId="46B1AE9A" w14:textId="2877D5FF" w:rsidR="000F35EC" w:rsidRPr="005335FE" w:rsidRDefault="003514D4" w:rsidP="003514D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0F35EC" w:rsidRPr="005335FE">
              <w:rPr>
                <w:rFonts w:ascii="Arial" w:hAnsi="Arial" w:cs="Arial"/>
                <w:color w:val="000000"/>
                <w:sz w:val="24"/>
                <w:szCs w:val="24"/>
              </w:rPr>
              <w:t>Wydatek uzależniony od dnia tygodnia.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3279" w14:textId="77777777" w:rsidR="000F35EC" w:rsidRPr="005335FE" w:rsidRDefault="000F35EC" w:rsidP="0035515D">
            <w:pPr>
              <w:spacing w:after="0" w:line="276" w:lineRule="auto"/>
              <w:outlineLvl w:val="0"/>
              <w:rPr>
                <w:rFonts w:ascii="Arial" w:eastAsia="Times New Roman" w:hAnsi="Arial" w:cs="Arial"/>
                <w:bCs/>
                <w:color w:val="000000"/>
                <w:kern w:val="36"/>
                <w:sz w:val="24"/>
                <w:szCs w:val="24"/>
                <w:lang w:eastAsia="pl-PL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Stawkę przyjęto na podstawie porównania cenowego ofert internetowych (cenników). </w:t>
            </w:r>
          </w:p>
        </w:tc>
      </w:tr>
      <w:tr w:rsidR="00254DFD" w:rsidRPr="005335FE" w14:paraId="30085C54" w14:textId="77777777" w:rsidTr="003514D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789B9EB0" w14:textId="672E6CE7" w:rsidR="000F35EC" w:rsidRPr="005335FE" w:rsidRDefault="00C20000" w:rsidP="0035515D">
            <w:pPr>
              <w:spacing w:after="0" w:line="276" w:lineRule="auto"/>
              <w:rPr>
                <w:rFonts w:ascii="Arial" w:eastAsia="Calibri" w:hAnsi="Arial" w:cs="Arial"/>
                <w:bCs/>
                <w:caps/>
                <w:sz w:val="24"/>
                <w:szCs w:val="24"/>
              </w:rPr>
            </w:pPr>
            <w:r w:rsidRPr="005335FE">
              <w:rPr>
                <w:rFonts w:ascii="Arial" w:eastAsia="Calibri" w:hAnsi="Arial" w:cs="Arial"/>
                <w:bCs/>
                <w:caps/>
                <w:sz w:val="24"/>
                <w:szCs w:val="24"/>
              </w:rPr>
              <w:t>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C219" w14:textId="6ACF014A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Zakup wyposażenia na potrz</w:t>
            </w:r>
            <w:r w:rsidR="00FC2211" w:rsidRPr="005335FE">
              <w:rPr>
                <w:rFonts w:ascii="Arial" w:hAnsi="Arial" w:cs="Arial"/>
                <w:color w:val="000000"/>
                <w:sz w:val="24"/>
                <w:szCs w:val="24"/>
              </w:rPr>
              <w:t>eby funkcjonowania klubu młodzieżowego</w:t>
            </w: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 – urządzeń, wyposażenia, lub innych elementów w celu wspomagania procesu wsparcia uczestników 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9EBCF" w14:textId="37DCE14E" w:rsidR="000F35EC" w:rsidRPr="005335FE" w:rsidRDefault="00534AB1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kpl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3CEB" w14:textId="52603534" w:rsidR="000F35EC" w:rsidRPr="005335FE" w:rsidRDefault="00534AB1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nie więcej niż 10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 xml:space="preserve">% kosztów grantu z </w:t>
            </w:r>
            <w:r w:rsidR="000F35EC"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uwzględnieniem stawek maksymalnych wskazanych w innych częściach katalogu. 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B93F" w14:textId="18595C20" w:rsidR="000F35EC" w:rsidRPr="005335FE" w:rsidRDefault="003514D4" w:rsidP="003514D4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0F35EC" w:rsidRPr="005335FE">
              <w:rPr>
                <w:rFonts w:ascii="Arial" w:hAnsi="Arial" w:cs="Arial"/>
                <w:color w:val="000000"/>
                <w:sz w:val="24"/>
                <w:szCs w:val="24"/>
              </w:rPr>
              <w:t>Wydatek kwalifikowalny, o ile jest niezbędny w celu wspomagania procesu wdrażania projektu (udzielania wsparcia uczestnikom projektu), nie do obsługi projektu (co jest finansowane w ramach zadania koszty administracyjne)</w:t>
            </w:r>
            <w:r w:rsidR="00F83D1E"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 oraz nie stanowi cross-financingu</w:t>
            </w:r>
            <w:r w:rsidR="000F35EC" w:rsidRPr="005335F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14:paraId="0B20705E" w14:textId="5F0A5136" w:rsidR="000F35EC" w:rsidRPr="005335FE" w:rsidRDefault="003514D4" w:rsidP="003514D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="000F35EC"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Konieczność zakupu wraz z jego specyfikacją powinna zostać uzasadniona w części wniosku dostępnej pod budżetem szczegółowym. 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8EC0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 xml:space="preserve">Stawkę przyjęto na podstawie doświadczenia z realizacji grantów w okresie 2014-2020 </w:t>
            </w:r>
            <w:r w:rsidRPr="005335FE">
              <w:rPr>
                <w:rFonts w:ascii="Arial" w:hAnsi="Arial" w:cs="Arial"/>
                <w:color w:val="7030A0"/>
                <w:sz w:val="24"/>
                <w:szCs w:val="24"/>
              </w:rPr>
              <w:t xml:space="preserve">z </w:t>
            </w:r>
            <w:r w:rsidRPr="005335FE">
              <w:rPr>
                <w:rFonts w:ascii="Arial" w:hAnsi="Arial" w:cs="Arial"/>
                <w:sz w:val="24"/>
                <w:szCs w:val="24"/>
              </w:rPr>
              <w:t>uwzględnieniem wzrostu poziomu cen wynikających z wysokiej inflacji</w:t>
            </w:r>
          </w:p>
        </w:tc>
      </w:tr>
      <w:tr w:rsidR="00254DFD" w:rsidRPr="005335FE" w14:paraId="0A931932" w14:textId="77777777" w:rsidTr="003514D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4BCAD0AA" w14:textId="64B1061A" w:rsidR="000F35EC" w:rsidRPr="005335FE" w:rsidRDefault="00C20000" w:rsidP="0035515D">
            <w:pPr>
              <w:spacing w:after="0" w:line="276" w:lineRule="auto"/>
              <w:rPr>
                <w:rFonts w:ascii="Arial" w:hAnsi="Arial" w:cs="Arial"/>
                <w:bCs/>
                <w:caps/>
                <w:sz w:val="24"/>
                <w:szCs w:val="24"/>
              </w:rPr>
            </w:pPr>
            <w:r w:rsidRPr="005335FE">
              <w:rPr>
                <w:rFonts w:ascii="Arial" w:hAnsi="Arial" w:cs="Arial"/>
                <w:bCs/>
                <w:caps/>
                <w:sz w:val="24"/>
                <w:szCs w:val="24"/>
              </w:rPr>
              <w:t>15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F4E8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Zakup sprzętu, akcesorió</w:t>
            </w: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w i innych elementów niezbędnych do udzielenia wsparcia uczestnikom 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3862" w14:textId="437F9387" w:rsidR="000F35EC" w:rsidRPr="005335FE" w:rsidRDefault="00534AB1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osoba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C1BF" w14:textId="75B73699" w:rsidR="000F35EC" w:rsidRPr="005335FE" w:rsidRDefault="00822358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nie więcej niż 2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 xml:space="preserve">00 zł/osoba w  całym 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lastRenderedPageBreak/>
              <w:t xml:space="preserve">budżecie projektu 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03D9" w14:textId="3BC0032F" w:rsidR="000F35EC" w:rsidRPr="005335FE" w:rsidRDefault="003514D4" w:rsidP="003514D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lastRenderedPageBreak/>
              <w:t xml:space="preserve">- 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 xml:space="preserve">Wydatek kwalifikowalny, o ile jest to uzasadnione specyfiką realizowanego projektu i jest 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lastRenderedPageBreak/>
              <w:t>niezbędny do udzielenia wsparcia uczestnikom (kategoria wydatku obejmuje np. maty do ćwiczeń, piłki do ćwiczeń, kijki nordic walking, akcesoria basenowe, butelki do wody, sprzęt do carvingu, odzież i obuwie, apteczka pierwszej pomocy, wydawnictwa, i inne).</w:t>
            </w:r>
          </w:p>
          <w:p w14:paraId="644E6509" w14:textId="7CCB795C" w:rsidR="000F35EC" w:rsidRPr="005335FE" w:rsidRDefault="003514D4" w:rsidP="003514D4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>Zakupione elementy</w:t>
            </w:r>
            <w:r w:rsidR="00637F21" w:rsidRPr="005335FE">
              <w:rPr>
                <w:rFonts w:ascii="Arial" w:hAnsi="Arial" w:cs="Arial"/>
                <w:sz w:val="24"/>
                <w:szCs w:val="24"/>
              </w:rPr>
              <w:t xml:space="preserve"> po zakończeniu uczestnictwa w projekcie</w:t>
            </w:r>
            <w:r w:rsidR="000F35EC" w:rsidRPr="005335FE">
              <w:rPr>
                <w:rFonts w:ascii="Arial" w:hAnsi="Arial" w:cs="Arial"/>
                <w:sz w:val="24"/>
                <w:szCs w:val="24"/>
              </w:rPr>
              <w:t xml:space="preserve"> przekazywane są na własność uczestnikom, co zostanie potwierdzone stosownym dokumentem.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F5DE" w14:textId="77777777" w:rsidR="000F35EC" w:rsidRPr="005335FE" w:rsidRDefault="000F35EC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lastRenderedPageBreak/>
              <w:t xml:space="preserve">Stawkę przyjęto na podstawie doświadczenia z realizacji grantów w okresie 2014-2020 z </w:t>
            </w:r>
            <w:r w:rsidRPr="005335FE">
              <w:rPr>
                <w:rFonts w:ascii="Arial" w:hAnsi="Arial" w:cs="Arial"/>
                <w:sz w:val="24"/>
                <w:szCs w:val="24"/>
              </w:rPr>
              <w:lastRenderedPageBreak/>
              <w:t>uwzględnieniem wzrostu poziomu cen wynikających z wysokiej inflacji</w:t>
            </w:r>
          </w:p>
        </w:tc>
      </w:tr>
      <w:tr w:rsidR="00997625" w:rsidRPr="005335FE" w14:paraId="42AA0CCF" w14:textId="77777777" w:rsidTr="003514D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7581C95D" w14:textId="023C6CCA" w:rsidR="00997625" w:rsidRPr="005335FE" w:rsidRDefault="00C20000" w:rsidP="0035515D">
            <w:pPr>
              <w:spacing w:after="0" w:line="276" w:lineRule="auto"/>
              <w:rPr>
                <w:rFonts w:ascii="Arial" w:hAnsi="Arial" w:cs="Arial"/>
                <w:bCs/>
                <w:caps/>
                <w:sz w:val="24"/>
                <w:szCs w:val="24"/>
              </w:rPr>
            </w:pPr>
            <w:r w:rsidRPr="005335FE">
              <w:rPr>
                <w:rFonts w:ascii="Arial" w:hAnsi="Arial" w:cs="Arial"/>
                <w:bCs/>
                <w:caps/>
                <w:sz w:val="24"/>
                <w:szCs w:val="24"/>
              </w:rPr>
              <w:lastRenderedPageBreak/>
              <w:t>1</w:t>
            </w:r>
            <w:r w:rsidR="006D095F" w:rsidRPr="005335FE">
              <w:rPr>
                <w:rFonts w:ascii="Arial" w:hAnsi="Arial" w:cs="Arial"/>
                <w:bCs/>
                <w:caps/>
                <w:sz w:val="24"/>
                <w:szCs w:val="24"/>
              </w:rPr>
              <w:t>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D96B" w14:textId="0831DE33" w:rsidR="00997625" w:rsidRPr="005335FE" w:rsidRDefault="00997625" w:rsidP="0035515D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bCs/>
                <w:sz w:val="24"/>
                <w:szCs w:val="24"/>
              </w:rPr>
              <w:t>Wysokość wsparcia na j</w:t>
            </w:r>
            <w:r w:rsidR="001C6DC8" w:rsidRPr="005335FE">
              <w:rPr>
                <w:rFonts w:ascii="Arial" w:hAnsi="Arial" w:cs="Arial"/>
                <w:bCs/>
                <w:sz w:val="24"/>
                <w:szCs w:val="24"/>
              </w:rPr>
              <w:t>ednego uczestnika projektu</w:t>
            </w:r>
            <w:r w:rsidR="00FE7B99" w:rsidRPr="005335FE">
              <w:rPr>
                <w:rFonts w:ascii="Arial" w:hAnsi="Arial" w:cs="Arial"/>
                <w:bCs/>
                <w:sz w:val="24"/>
                <w:szCs w:val="24"/>
              </w:rPr>
              <w:t xml:space="preserve"> biorącego udział we wszystkich oferowanych formach wsparcia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F3F" w14:textId="6FA5D03B" w:rsidR="00997625" w:rsidRPr="005335FE" w:rsidRDefault="009C0BF3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osoba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58A0" w14:textId="62A0CB85" w:rsidR="00997625" w:rsidRPr="005335FE" w:rsidRDefault="00637F21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Do 61</w:t>
            </w:r>
            <w:r w:rsidR="001C6DC8" w:rsidRPr="005335FE">
              <w:rPr>
                <w:rFonts w:ascii="Arial" w:hAnsi="Arial" w:cs="Arial"/>
                <w:sz w:val="24"/>
                <w:szCs w:val="24"/>
              </w:rPr>
              <w:t>00 zł  w</w:t>
            </w:r>
            <w:r w:rsidRPr="005335FE">
              <w:rPr>
                <w:rFonts w:ascii="Arial" w:hAnsi="Arial" w:cs="Arial"/>
                <w:sz w:val="24"/>
                <w:szCs w:val="24"/>
              </w:rPr>
              <w:t>artości kosztów kwalifikowalnych grantu</w:t>
            </w: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CBF8" w14:textId="7462A39B" w:rsidR="00997625" w:rsidRPr="005335FE" w:rsidRDefault="008F1708" w:rsidP="0035515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Taki warunek wynika z umożliwienia skorzystania z zajęć aktywizacyjnych jak największej ilości zainteresowanych osób 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9468" w14:textId="0A10E95A" w:rsidR="00997625" w:rsidRPr="005335FE" w:rsidRDefault="001C6DC8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Stawkę przyjęto na podstawie doświadczenia z realizacji grantów w okresie 2014-2020 z uwzględnieniem wzrostu poziomu cen wynikających z wysokiej inflacji</w:t>
            </w:r>
          </w:p>
        </w:tc>
      </w:tr>
      <w:tr w:rsidR="00997625" w:rsidRPr="005335FE" w14:paraId="44503FED" w14:textId="77777777" w:rsidTr="003514D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7709712A" w14:textId="4DCEF630" w:rsidR="00997625" w:rsidRPr="005335FE" w:rsidRDefault="00C20000" w:rsidP="0035515D">
            <w:pPr>
              <w:spacing w:after="0" w:line="276" w:lineRule="auto"/>
              <w:rPr>
                <w:rFonts w:ascii="Arial" w:hAnsi="Arial" w:cs="Arial"/>
                <w:bCs/>
                <w:caps/>
                <w:sz w:val="24"/>
                <w:szCs w:val="24"/>
              </w:rPr>
            </w:pPr>
            <w:r w:rsidRPr="005335FE">
              <w:rPr>
                <w:rFonts w:ascii="Arial" w:hAnsi="Arial" w:cs="Arial"/>
                <w:bCs/>
                <w:caps/>
                <w:sz w:val="24"/>
                <w:szCs w:val="24"/>
              </w:rPr>
              <w:t>1</w:t>
            </w:r>
            <w:r w:rsidR="006D095F" w:rsidRPr="005335FE">
              <w:rPr>
                <w:rFonts w:ascii="Arial" w:hAnsi="Arial" w:cs="Arial"/>
                <w:bCs/>
                <w:caps/>
                <w:sz w:val="24"/>
                <w:szCs w:val="24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B3DB" w14:textId="6734A808" w:rsidR="00997625" w:rsidRPr="005335FE" w:rsidRDefault="00997625" w:rsidP="0035515D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Wysokość kosztów administracyjnych</w:t>
            </w:r>
            <w:r w:rsidR="0039530C" w:rsidRPr="005335F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0474D4C" w14:textId="77777777" w:rsidR="00997625" w:rsidRPr="005335FE" w:rsidRDefault="00997625" w:rsidP="0035515D">
            <w:pPr>
              <w:suppressAutoHyphens/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BF6" w14:textId="54382CAF" w:rsidR="00997625" w:rsidRPr="005335FE" w:rsidRDefault="008F1708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kpl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621A" w14:textId="23DBB37C" w:rsidR="008F1708" w:rsidRPr="005335FE" w:rsidRDefault="008F1708" w:rsidP="0035515D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Do  20% zadań merytorycznych,</w:t>
            </w:r>
          </w:p>
          <w:p w14:paraId="193C3D8F" w14:textId="77777777" w:rsidR="00997625" w:rsidRPr="005335FE" w:rsidRDefault="00997625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4B7A" w14:textId="61BEBE3E" w:rsidR="00997625" w:rsidRPr="005335FE" w:rsidRDefault="0039530C" w:rsidP="0035515D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 Jest to suma kosztów: personalne – kierownik, koordynator, obsługa administracyjna, księgowa, itp., utrzymanie biura niezbędna do zorganizowania i prowadzenia, rozliczenia projektu.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4775" w14:textId="04A05927" w:rsidR="00997625" w:rsidRPr="005335FE" w:rsidRDefault="008F1708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Stawkę przyjęto na podstawie doświadczenia z realizacji grantów w okresie 2014-2020 z uwzględnieniem wzrostu poziomu cen wynikających z wysokiej inflacji</w:t>
            </w:r>
          </w:p>
        </w:tc>
      </w:tr>
      <w:tr w:rsidR="00C20000" w:rsidRPr="005335FE" w14:paraId="049FD2B6" w14:textId="77777777" w:rsidTr="003514D4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7F7F7F"/>
            </w:tcBorders>
          </w:tcPr>
          <w:p w14:paraId="6F62385F" w14:textId="58F350E5" w:rsidR="00C20000" w:rsidRPr="005335FE" w:rsidRDefault="00C20000" w:rsidP="0035515D">
            <w:pPr>
              <w:spacing w:after="0" w:line="276" w:lineRule="auto"/>
              <w:rPr>
                <w:rFonts w:ascii="Arial" w:hAnsi="Arial" w:cs="Arial"/>
                <w:bCs/>
                <w:caps/>
                <w:sz w:val="24"/>
                <w:szCs w:val="24"/>
              </w:rPr>
            </w:pPr>
            <w:r w:rsidRPr="005335FE">
              <w:rPr>
                <w:rFonts w:ascii="Arial" w:hAnsi="Arial" w:cs="Arial"/>
                <w:bCs/>
                <w:caps/>
                <w:sz w:val="24"/>
                <w:szCs w:val="24"/>
              </w:rPr>
              <w:lastRenderedPageBreak/>
              <w:t>1</w:t>
            </w:r>
            <w:r w:rsidR="006D095F" w:rsidRPr="005335FE">
              <w:rPr>
                <w:rFonts w:ascii="Arial" w:hAnsi="Arial" w:cs="Arial"/>
                <w:bCs/>
                <w:caps/>
                <w:sz w:val="24"/>
                <w:szCs w:val="24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637E" w14:textId="7174A941" w:rsidR="00C20000" w:rsidRPr="005335FE" w:rsidRDefault="00C20000" w:rsidP="0035515D">
            <w:pPr>
              <w:suppressAutoHyphens/>
              <w:spacing w:after="0"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 w:themeColor="text1"/>
                <w:sz w:val="24"/>
                <w:szCs w:val="24"/>
              </w:rPr>
              <w:t>Formy</w:t>
            </w:r>
          </w:p>
          <w:p w14:paraId="26198428" w14:textId="7DBE1405" w:rsidR="00C20000" w:rsidRPr="005335FE" w:rsidRDefault="00C20000" w:rsidP="0035515D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 w:themeColor="text1"/>
                <w:sz w:val="24"/>
                <w:szCs w:val="24"/>
              </w:rPr>
              <w:t>towarzyszące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BEE2" w14:textId="619A2525" w:rsidR="00C20000" w:rsidRPr="005335FE" w:rsidRDefault="00C20000" w:rsidP="0035515D">
            <w:pPr>
              <w:spacing w:after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35FE">
              <w:rPr>
                <w:rFonts w:ascii="Arial" w:hAnsi="Arial" w:cs="Arial"/>
                <w:color w:val="000000"/>
                <w:sz w:val="24"/>
                <w:szCs w:val="24"/>
              </w:rPr>
              <w:t>kpl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FA36" w14:textId="7E8A6C2B" w:rsidR="00C20000" w:rsidRPr="005335FE" w:rsidRDefault="00C20000" w:rsidP="0035515D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Do 10% kosztów merytorycznych</w:t>
            </w:r>
          </w:p>
          <w:p w14:paraId="777AC176" w14:textId="27413DF7" w:rsidR="00C20000" w:rsidRPr="005335FE" w:rsidRDefault="00C20000" w:rsidP="0035515D">
            <w:pPr>
              <w:suppressAutoHyphens/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EE19" w14:textId="4C2DBC9B" w:rsidR="00D62AE2" w:rsidRPr="005335FE" w:rsidRDefault="00D62AE2" w:rsidP="0035515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Jak np.:</w:t>
            </w:r>
          </w:p>
          <w:p w14:paraId="5363F811" w14:textId="77777777" w:rsidR="00D62AE2" w:rsidRPr="005335FE" w:rsidRDefault="00D62AE2" w:rsidP="0035515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- wyjazdy na obozy czy spotkania integracyjne (np. wspólne świętowanie, występy);</w:t>
            </w:r>
          </w:p>
          <w:p w14:paraId="3D308CDA" w14:textId="77777777" w:rsidR="00D62AE2" w:rsidRPr="005335FE" w:rsidRDefault="00D62AE2" w:rsidP="0035515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bookmarkStart w:id="0" w:name="_Hlk149225781"/>
            <w:r w:rsidRPr="005335FE">
              <w:rPr>
                <w:rFonts w:ascii="Arial" w:hAnsi="Arial" w:cs="Arial"/>
                <w:b/>
                <w:bCs/>
                <w:sz w:val="24"/>
                <w:szCs w:val="24"/>
              </w:rPr>
              <w:t>zajęcia o charakterze specjalistycznym</w:t>
            </w:r>
            <w:r w:rsidRPr="005335FE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0"/>
            <w:r w:rsidRPr="005335FE">
              <w:rPr>
                <w:rFonts w:ascii="Arial" w:hAnsi="Arial" w:cs="Arial"/>
                <w:sz w:val="24"/>
                <w:szCs w:val="24"/>
              </w:rPr>
              <w:t>i doraźna pomoc w rozwiązywaniu trudności i problemów dzieci i młodzieży (szkolnych, rodzinnych, psychologicznych).</w:t>
            </w:r>
          </w:p>
          <w:p w14:paraId="0A985786" w14:textId="77777777" w:rsidR="00D62AE2" w:rsidRPr="005335FE" w:rsidRDefault="00D62AE2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Hlk149225880"/>
            <w:r w:rsidRPr="005335FE">
              <w:rPr>
                <w:rFonts w:ascii="Arial" w:hAnsi="Arial" w:cs="Arial"/>
                <w:sz w:val="24"/>
                <w:szCs w:val="24"/>
              </w:rPr>
              <w:t>Oferta zajęć specjalistycznych powinna być uzasadniona i wynikać ze zgłoszonych lub zdiagnozowanych potrzeb</w:t>
            </w:r>
            <w:bookmarkEnd w:id="1"/>
            <w:r w:rsidRPr="005335FE">
              <w:rPr>
                <w:rFonts w:ascii="Arial" w:hAnsi="Arial" w:cs="Arial"/>
                <w:sz w:val="24"/>
                <w:szCs w:val="24"/>
              </w:rPr>
              <w:t>. Może ona obejmować takie formy wsparcia jak:</w:t>
            </w:r>
          </w:p>
          <w:p w14:paraId="1162585E" w14:textId="59A0D643" w:rsidR="00D62AE2" w:rsidRPr="005335FE" w:rsidRDefault="003514D4" w:rsidP="003514D4">
            <w:pPr>
              <w:spacing w:after="0"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62AE2" w:rsidRPr="005335FE">
              <w:rPr>
                <w:rFonts w:ascii="Arial" w:hAnsi="Arial" w:cs="Arial"/>
                <w:sz w:val="24"/>
                <w:szCs w:val="24"/>
              </w:rPr>
              <w:t xml:space="preserve">spotkania z psychologiem, </w:t>
            </w:r>
          </w:p>
          <w:p w14:paraId="04E4D9D4" w14:textId="219B80CE" w:rsidR="00D62AE2" w:rsidRPr="005335FE" w:rsidRDefault="003514D4" w:rsidP="003514D4">
            <w:pPr>
              <w:spacing w:after="0" w:line="276" w:lineRule="auto"/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62AE2" w:rsidRPr="005335FE">
              <w:rPr>
                <w:rFonts w:ascii="Arial" w:hAnsi="Arial" w:cs="Arial"/>
                <w:sz w:val="24"/>
                <w:szCs w:val="24"/>
              </w:rPr>
              <w:t xml:space="preserve">zajęcia logopedyczne, </w:t>
            </w:r>
          </w:p>
          <w:p w14:paraId="5A855F06" w14:textId="2AEA653B" w:rsidR="00D62AE2" w:rsidRPr="005335FE" w:rsidRDefault="003514D4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62AE2" w:rsidRPr="005335FE">
              <w:rPr>
                <w:rFonts w:ascii="Arial" w:hAnsi="Arial" w:cs="Arial"/>
                <w:sz w:val="24"/>
                <w:szCs w:val="24"/>
              </w:rPr>
              <w:t>zajęcia korekcyjno-kompensacyjne,</w:t>
            </w:r>
          </w:p>
          <w:p w14:paraId="3B5CB225" w14:textId="1EDDB739" w:rsidR="00C20000" w:rsidRPr="005335FE" w:rsidRDefault="003514D4" w:rsidP="003514D4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D62AE2" w:rsidRPr="005335FE">
              <w:rPr>
                <w:rFonts w:ascii="Arial" w:hAnsi="Arial" w:cs="Arial"/>
                <w:sz w:val="24"/>
                <w:szCs w:val="24"/>
              </w:rPr>
              <w:t>inne zajęcia o charakterze terapeutycznym.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0D08" w14:textId="1D05A894" w:rsidR="00C20000" w:rsidRPr="005335FE" w:rsidRDefault="00D62AE2" w:rsidP="003551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5335FE">
              <w:rPr>
                <w:rFonts w:ascii="Arial" w:hAnsi="Arial" w:cs="Arial"/>
                <w:sz w:val="24"/>
                <w:szCs w:val="24"/>
              </w:rPr>
              <w:t>Stawkę przyjęto na podstawie doświadczenia z realizacji grantów w okresie 2014-2020 z uwzględnieniem wzrostu poziomu cen wynikających z wysokiej inflacji</w:t>
            </w:r>
          </w:p>
        </w:tc>
      </w:tr>
    </w:tbl>
    <w:p w14:paraId="00DCF89A" w14:textId="77777777" w:rsidR="001E7430" w:rsidRPr="005335FE" w:rsidRDefault="001E7430" w:rsidP="001E7430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</w:p>
    <w:p w14:paraId="2777F091" w14:textId="77777777" w:rsidR="005335FE" w:rsidRDefault="005335FE" w:rsidP="001E7430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</w:p>
    <w:p w14:paraId="63D7F4E7" w14:textId="0230DC16" w:rsidR="001E7430" w:rsidRPr="005335FE" w:rsidRDefault="001E7430" w:rsidP="001E7430">
      <w:pPr>
        <w:pStyle w:val="Bezodstpw"/>
        <w:spacing w:line="276" w:lineRule="auto"/>
        <w:rPr>
          <w:rFonts w:ascii="Arial" w:hAnsi="Arial" w:cs="Arial"/>
          <w:sz w:val="24"/>
          <w:szCs w:val="24"/>
          <w:lang w:eastAsia="zh-CN"/>
        </w:rPr>
      </w:pPr>
      <w:r w:rsidRPr="005335FE">
        <w:rPr>
          <w:rFonts w:ascii="Arial" w:hAnsi="Arial" w:cs="Arial"/>
          <w:sz w:val="24"/>
          <w:szCs w:val="24"/>
          <w:lang w:eastAsia="zh-CN"/>
        </w:rPr>
        <w:t>Projekt współfinansowany ze środków EFRROW w ramach programu Planu Strategicznego dla Wspólnej Polityki Rolnej na lata 2023 - 2027 oraz ze środków EFS+ w ramach Programu Regionalnego Fundusze Europejskie dla Kujaw i Pomorza na lata 2021 - 2027.</w:t>
      </w:r>
    </w:p>
    <w:p w14:paraId="6EDB1EC0" w14:textId="77777777" w:rsidR="001E7430" w:rsidRPr="008A6935" w:rsidRDefault="001E7430" w:rsidP="001E7430">
      <w:pPr>
        <w:pBdr>
          <w:bottom w:val="single" w:sz="6" w:space="1" w:color="auto"/>
        </w:pBd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</w:p>
    <w:p w14:paraId="6737ADF9" w14:textId="77777777" w:rsidR="001E7430" w:rsidRPr="008A6935" w:rsidRDefault="001E7430" w:rsidP="001E7430">
      <w:pPr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</w:p>
    <w:p w14:paraId="5E1A1DF8" w14:textId="77777777" w:rsidR="001E7430" w:rsidRPr="008A6935" w:rsidRDefault="001E7430" w:rsidP="001E7430">
      <w:pPr>
        <w:pStyle w:val="Tekstpodstawowy"/>
        <w:spacing w:after="0"/>
        <w:rPr>
          <w:rFonts w:ascii="Arial" w:hAnsi="Arial" w:cs="Arial"/>
          <w:sz w:val="16"/>
          <w:szCs w:val="16"/>
          <w:lang w:eastAsia="zh-CN"/>
        </w:rPr>
      </w:pPr>
      <w:r w:rsidRPr="008A6935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84F809F" wp14:editId="5D063445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431800" cy="394970"/>
            <wp:effectExtent l="0" t="0" r="6350" b="5080"/>
            <wp:wrapSquare wrapText="righ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6935">
        <w:rPr>
          <w:rFonts w:ascii="Arial" w:hAnsi="Arial" w:cs="Arial"/>
          <w:lang w:eastAsia="zh-CN"/>
        </w:rPr>
        <w:t>S</w:t>
      </w:r>
      <w:r w:rsidRPr="008A6935">
        <w:rPr>
          <w:rFonts w:ascii="Arial" w:hAnsi="Arial" w:cs="Arial"/>
          <w:sz w:val="16"/>
          <w:szCs w:val="16"/>
          <w:lang w:eastAsia="zh-CN"/>
        </w:rPr>
        <w:t xml:space="preserve">towarzyszenie „Lokalna Grupa Działania Pojezierze Brodnickie”, Karbowo ul. Wczasowa 46, 87-300 Brodnica; Tel/fax + 48 56 49 34404; </w:t>
      </w:r>
    </w:p>
    <w:p w14:paraId="2AFC9E3E" w14:textId="77777777" w:rsidR="001E7430" w:rsidRPr="008A6935" w:rsidRDefault="001E7430" w:rsidP="001E7430">
      <w:pPr>
        <w:pStyle w:val="Tekstpodstawowy"/>
        <w:spacing w:after="0"/>
        <w:rPr>
          <w:rFonts w:ascii="Arial" w:hAnsi="Arial" w:cs="Arial"/>
          <w:sz w:val="16"/>
          <w:szCs w:val="16"/>
          <w:lang w:val="en-US" w:eastAsia="zh-CN"/>
        </w:rPr>
      </w:pPr>
      <w:r w:rsidRPr="008A6935">
        <w:rPr>
          <w:rFonts w:ascii="Arial" w:hAnsi="Arial" w:cs="Arial"/>
          <w:sz w:val="16"/>
          <w:szCs w:val="16"/>
          <w:lang w:val="en-US" w:eastAsia="zh-CN"/>
        </w:rPr>
        <w:t xml:space="preserve">KRS 0000320535; REGON 340535232; NIP 8741735934; e-mail: </w:t>
      </w:r>
      <w:hyperlink r:id="rId10" w:history="1">
        <w:r w:rsidRPr="0034347B">
          <w:rPr>
            <w:rStyle w:val="Hipercze"/>
            <w:rFonts w:ascii="Arial" w:eastAsia="Times New Roman" w:hAnsi="Arial" w:cs="Arial"/>
            <w:color w:val="auto"/>
            <w:sz w:val="16"/>
            <w:szCs w:val="16"/>
            <w:u w:val="none"/>
            <w:lang w:val="en-US" w:eastAsia="zh-CN"/>
          </w:rPr>
          <w:t>biuro@lgdpojezierzebrodnickie.pl</w:t>
        </w:r>
      </w:hyperlink>
      <w:r w:rsidRPr="0034347B">
        <w:rPr>
          <w:rFonts w:ascii="Arial" w:hAnsi="Arial" w:cs="Arial"/>
          <w:sz w:val="16"/>
          <w:szCs w:val="16"/>
          <w:lang w:val="en-US" w:eastAsia="zh-CN"/>
        </w:rPr>
        <w:t xml:space="preserve">;  </w:t>
      </w:r>
      <w:hyperlink r:id="rId11" w:history="1">
        <w:r w:rsidRPr="0034347B">
          <w:rPr>
            <w:rStyle w:val="Hipercze"/>
            <w:rFonts w:ascii="Arial" w:eastAsia="Times New Roman" w:hAnsi="Arial" w:cs="Arial"/>
            <w:color w:val="auto"/>
            <w:sz w:val="16"/>
            <w:szCs w:val="16"/>
            <w:u w:val="none"/>
            <w:lang w:val="en-US" w:eastAsia="zh-CN"/>
          </w:rPr>
          <w:t>www.lgdpojezierzebrodnickie.pl</w:t>
        </w:r>
      </w:hyperlink>
      <w:r w:rsidRPr="0034347B">
        <w:rPr>
          <w:rFonts w:ascii="Arial" w:hAnsi="Arial" w:cs="Arial"/>
          <w:sz w:val="16"/>
          <w:szCs w:val="16"/>
          <w:lang w:val="en-US" w:eastAsia="zh-CN"/>
        </w:rPr>
        <w:t xml:space="preserve"> </w:t>
      </w:r>
    </w:p>
    <w:p w14:paraId="3CD1B505" w14:textId="7136F167" w:rsidR="00FD00BF" w:rsidRPr="008A6935" w:rsidRDefault="00FD00BF" w:rsidP="001E7430">
      <w:pPr>
        <w:pStyle w:val="Bezodstpw"/>
        <w:rPr>
          <w:rFonts w:ascii="Arial" w:hAnsi="Arial" w:cs="Arial"/>
          <w:sz w:val="16"/>
          <w:szCs w:val="16"/>
          <w:lang w:val="en-US" w:eastAsia="zh-CN"/>
        </w:rPr>
      </w:pPr>
    </w:p>
    <w:sectPr w:rsidR="00FD00BF" w:rsidRPr="008A6935" w:rsidSect="005335FE">
      <w:footerReference w:type="default" r:id="rId12"/>
      <w:pgSz w:w="16838" w:h="11906" w:orient="landscape"/>
      <w:pgMar w:top="709" w:right="1417" w:bottom="993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AF687" w14:textId="77777777" w:rsidR="004E3B8D" w:rsidRDefault="004E3B8D" w:rsidP="00FD0823">
      <w:pPr>
        <w:spacing w:after="0" w:line="240" w:lineRule="auto"/>
      </w:pPr>
      <w:r>
        <w:separator/>
      </w:r>
    </w:p>
  </w:endnote>
  <w:endnote w:type="continuationSeparator" w:id="0">
    <w:p w14:paraId="24EB0E57" w14:textId="77777777" w:rsidR="004E3B8D" w:rsidRDefault="004E3B8D" w:rsidP="00FD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754E0" w14:textId="5D82A796" w:rsidR="00FD0823" w:rsidRDefault="00FD0823">
    <w:pPr>
      <w:pStyle w:val="Stopka"/>
    </w:pPr>
    <w:r>
      <w:tab/>
      <w:t xml:space="preserve">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D13033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5EB3" w14:textId="77777777" w:rsidR="004E3B8D" w:rsidRDefault="004E3B8D" w:rsidP="00FD0823">
      <w:pPr>
        <w:spacing w:after="0" w:line="240" w:lineRule="auto"/>
      </w:pPr>
      <w:r>
        <w:separator/>
      </w:r>
    </w:p>
  </w:footnote>
  <w:footnote w:type="continuationSeparator" w:id="0">
    <w:p w14:paraId="33D5AE16" w14:textId="77777777" w:rsidR="004E3B8D" w:rsidRDefault="004E3B8D" w:rsidP="00FD0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A9D"/>
    <w:multiLevelType w:val="hybridMultilevel"/>
    <w:tmpl w:val="0BD68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212"/>
    <w:multiLevelType w:val="hybridMultilevel"/>
    <w:tmpl w:val="A89A8FC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C04FC6"/>
    <w:multiLevelType w:val="hybridMultilevel"/>
    <w:tmpl w:val="A89A8FC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D44D11"/>
    <w:multiLevelType w:val="hybridMultilevel"/>
    <w:tmpl w:val="A89A8FC2"/>
    <w:lvl w:ilvl="0" w:tplc="5AB2DCD6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22284C"/>
    <w:multiLevelType w:val="hybridMultilevel"/>
    <w:tmpl w:val="290C29E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17823CC"/>
    <w:multiLevelType w:val="hybridMultilevel"/>
    <w:tmpl w:val="4B6AB634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3B57B3"/>
    <w:multiLevelType w:val="hybridMultilevel"/>
    <w:tmpl w:val="735060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372D42"/>
    <w:multiLevelType w:val="hybridMultilevel"/>
    <w:tmpl w:val="B82ABCB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3D654D"/>
    <w:multiLevelType w:val="hybridMultilevel"/>
    <w:tmpl w:val="DD848ED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290ADE"/>
    <w:multiLevelType w:val="hybridMultilevel"/>
    <w:tmpl w:val="64384588"/>
    <w:lvl w:ilvl="0" w:tplc="8160AA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FA5277"/>
    <w:multiLevelType w:val="hybridMultilevel"/>
    <w:tmpl w:val="B82ABCB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5270CA"/>
    <w:multiLevelType w:val="hybridMultilevel"/>
    <w:tmpl w:val="13A6321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896695"/>
    <w:multiLevelType w:val="hybridMultilevel"/>
    <w:tmpl w:val="A89A8FC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FB5534"/>
    <w:multiLevelType w:val="hybridMultilevel"/>
    <w:tmpl w:val="4B6AB63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F51B03"/>
    <w:multiLevelType w:val="hybridMultilevel"/>
    <w:tmpl w:val="6EAC268C"/>
    <w:lvl w:ilvl="0" w:tplc="23C22AF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B1C66"/>
    <w:multiLevelType w:val="hybridMultilevel"/>
    <w:tmpl w:val="B82ABCB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49674771"/>
    <w:multiLevelType w:val="hybridMultilevel"/>
    <w:tmpl w:val="071C222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B0754B"/>
    <w:multiLevelType w:val="hybridMultilevel"/>
    <w:tmpl w:val="DD848ED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329"/>
    <w:multiLevelType w:val="hybridMultilevel"/>
    <w:tmpl w:val="DCA08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1582D"/>
    <w:multiLevelType w:val="hybridMultilevel"/>
    <w:tmpl w:val="27DEC94C"/>
    <w:lvl w:ilvl="0" w:tplc="2196E84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CB7D1C"/>
    <w:multiLevelType w:val="hybridMultilevel"/>
    <w:tmpl w:val="174ACE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911859"/>
    <w:multiLevelType w:val="hybridMultilevel"/>
    <w:tmpl w:val="8BD4CB5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EA6D7E"/>
    <w:multiLevelType w:val="hybridMultilevel"/>
    <w:tmpl w:val="A5041BD2"/>
    <w:lvl w:ilvl="0" w:tplc="C74C31C4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26487"/>
    <w:multiLevelType w:val="hybridMultilevel"/>
    <w:tmpl w:val="DD848ED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A15586"/>
    <w:multiLevelType w:val="hybridMultilevel"/>
    <w:tmpl w:val="60680E1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371C01"/>
    <w:multiLevelType w:val="hybridMultilevel"/>
    <w:tmpl w:val="50322386"/>
    <w:lvl w:ilvl="0" w:tplc="9FB67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3526B1"/>
    <w:multiLevelType w:val="hybridMultilevel"/>
    <w:tmpl w:val="317A81D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8C24B5"/>
    <w:multiLevelType w:val="hybridMultilevel"/>
    <w:tmpl w:val="DD848ED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961FDC"/>
    <w:multiLevelType w:val="hybridMultilevel"/>
    <w:tmpl w:val="C9F415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AF4FF4"/>
    <w:multiLevelType w:val="hybridMultilevel"/>
    <w:tmpl w:val="DD848ED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6B0C5E"/>
    <w:multiLevelType w:val="hybridMultilevel"/>
    <w:tmpl w:val="DD848ED8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A0749F"/>
    <w:multiLevelType w:val="hybridMultilevel"/>
    <w:tmpl w:val="281C407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C40654"/>
    <w:multiLevelType w:val="hybridMultilevel"/>
    <w:tmpl w:val="B82ABCB2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2248726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63221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97095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58430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9993403">
    <w:abstractNumId w:val="7"/>
  </w:num>
  <w:num w:numId="6" w16cid:durableId="746344385">
    <w:abstractNumId w:val="23"/>
  </w:num>
  <w:num w:numId="7" w16cid:durableId="1993636829">
    <w:abstractNumId w:val="0"/>
  </w:num>
  <w:num w:numId="8" w16cid:durableId="93064720">
    <w:abstractNumId w:val="10"/>
  </w:num>
  <w:num w:numId="9" w16cid:durableId="1554348656">
    <w:abstractNumId w:val="29"/>
  </w:num>
  <w:num w:numId="10" w16cid:durableId="89581696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716007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48844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48673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57547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96039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325464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57555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358739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21524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81672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9295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4983304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24278337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629106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2815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866980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19445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113827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168679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249003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35807537">
    <w:abstractNumId w:val="24"/>
  </w:num>
  <w:num w:numId="32" w16cid:durableId="5870803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13894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253583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30195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56748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203637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25850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2848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B1A"/>
    <w:rsid w:val="000014FC"/>
    <w:rsid w:val="00005F22"/>
    <w:rsid w:val="00021802"/>
    <w:rsid w:val="00021CE9"/>
    <w:rsid w:val="000257D1"/>
    <w:rsid w:val="0003427A"/>
    <w:rsid w:val="00045B26"/>
    <w:rsid w:val="00075DB0"/>
    <w:rsid w:val="000775C4"/>
    <w:rsid w:val="00095EE6"/>
    <w:rsid w:val="000A2573"/>
    <w:rsid w:val="000A3939"/>
    <w:rsid w:val="000C7932"/>
    <w:rsid w:val="000D0B83"/>
    <w:rsid w:val="000D27AD"/>
    <w:rsid w:val="000E2AEB"/>
    <w:rsid w:val="000E417C"/>
    <w:rsid w:val="000E442D"/>
    <w:rsid w:val="000F35EC"/>
    <w:rsid w:val="000F77D7"/>
    <w:rsid w:val="00120851"/>
    <w:rsid w:val="0012654E"/>
    <w:rsid w:val="00154BED"/>
    <w:rsid w:val="001826ED"/>
    <w:rsid w:val="00190C2A"/>
    <w:rsid w:val="0019453F"/>
    <w:rsid w:val="00195344"/>
    <w:rsid w:val="001A7F02"/>
    <w:rsid w:val="001A7F7F"/>
    <w:rsid w:val="001C6DC8"/>
    <w:rsid w:val="001D4FE8"/>
    <w:rsid w:val="001D6E1F"/>
    <w:rsid w:val="001E494C"/>
    <w:rsid w:val="001E7430"/>
    <w:rsid w:val="00204B93"/>
    <w:rsid w:val="00204F9D"/>
    <w:rsid w:val="00226A9F"/>
    <w:rsid w:val="00247404"/>
    <w:rsid w:val="00254DFD"/>
    <w:rsid w:val="0026216D"/>
    <w:rsid w:val="0028741D"/>
    <w:rsid w:val="002A1B5A"/>
    <w:rsid w:val="002B4F0C"/>
    <w:rsid w:val="002D1BCD"/>
    <w:rsid w:val="002D566F"/>
    <w:rsid w:val="002F0433"/>
    <w:rsid w:val="00307A59"/>
    <w:rsid w:val="003514D4"/>
    <w:rsid w:val="0035515D"/>
    <w:rsid w:val="00356AEB"/>
    <w:rsid w:val="003760DC"/>
    <w:rsid w:val="00382B88"/>
    <w:rsid w:val="00385829"/>
    <w:rsid w:val="0039530C"/>
    <w:rsid w:val="003B1B2D"/>
    <w:rsid w:val="003C611C"/>
    <w:rsid w:val="003D0EED"/>
    <w:rsid w:val="003E0934"/>
    <w:rsid w:val="003E74E8"/>
    <w:rsid w:val="0040221D"/>
    <w:rsid w:val="00432494"/>
    <w:rsid w:val="004666C0"/>
    <w:rsid w:val="00470F50"/>
    <w:rsid w:val="00471FBA"/>
    <w:rsid w:val="00473199"/>
    <w:rsid w:val="00475E88"/>
    <w:rsid w:val="00485373"/>
    <w:rsid w:val="004A1F44"/>
    <w:rsid w:val="004C304C"/>
    <w:rsid w:val="004E3B8D"/>
    <w:rsid w:val="005138CE"/>
    <w:rsid w:val="00522CA5"/>
    <w:rsid w:val="005239C3"/>
    <w:rsid w:val="005335FE"/>
    <w:rsid w:val="00534AB1"/>
    <w:rsid w:val="0054303B"/>
    <w:rsid w:val="0054476B"/>
    <w:rsid w:val="00557619"/>
    <w:rsid w:val="00565CFA"/>
    <w:rsid w:val="00566582"/>
    <w:rsid w:val="00573F1C"/>
    <w:rsid w:val="005F7DE3"/>
    <w:rsid w:val="00621F3B"/>
    <w:rsid w:val="00637F21"/>
    <w:rsid w:val="00655E4D"/>
    <w:rsid w:val="00657FEA"/>
    <w:rsid w:val="00691654"/>
    <w:rsid w:val="006B07B4"/>
    <w:rsid w:val="006B7F6E"/>
    <w:rsid w:val="006C4F24"/>
    <w:rsid w:val="006C6E7C"/>
    <w:rsid w:val="006D095F"/>
    <w:rsid w:val="006D09E2"/>
    <w:rsid w:val="006D3385"/>
    <w:rsid w:val="00713D7C"/>
    <w:rsid w:val="00723CA4"/>
    <w:rsid w:val="00773E73"/>
    <w:rsid w:val="00775C34"/>
    <w:rsid w:val="007841DC"/>
    <w:rsid w:val="007A3E21"/>
    <w:rsid w:val="007C0133"/>
    <w:rsid w:val="007C5B19"/>
    <w:rsid w:val="007E3077"/>
    <w:rsid w:val="007E5AC0"/>
    <w:rsid w:val="00821175"/>
    <w:rsid w:val="00822358"/>
    <w:rsid w:val="00834AA4"/>
    <w:rsid w:val="00856A64"/>
    <w:rsid w:val="00856B1A"/>
    <w:rsid w:val="008A6935"/>
    <w:rsid w:val="008B335B"/>
    <w:rsid w:val="008D389D"/>
    <w:rsid w:val="008D7AE8"/>
    <w:rsid w:val="008D7FB1"/>
    <w:rsid w:val="008E1CAF"/>
    <w:rsid w:val="008F1708"/>
    <w:rsid w:val="00904DBB"/>
    <w:rsid w:val="0091330A"/>
    <w:rsid w:val="0091397D"/>
    <w:rsid w:val="00917326"/>
    <w:rsid w:val="00922399"/>
    <w:rsid w:val="00932530"/>
    <w:rsid w:val="00932C88"/>
    <w:rsid w:val="00933BD4"/>
    <w:rsid w:val="0094390D"/>
    <w:rsid w:val="00960C3F"/>
    <w:rsid w:val="009750B0"/>
    <w:rsid w:val="0099668E"/>
    <w:rsid w:val="00997625"/>
    <w:rsid w:val="009B2D33"/>
    <w:rsid w:val="009B4260"/>
    <w:rsid w:val="009C0BF3"/>
    <w:rsid w:val="009F204B"/>
    <w:rsid w:val="00A06218"/>
    <w:rsid w:val="00A10186"/>
    <w:rsid w:val="00A35366"/>
    <w:rsid w:val="00A4591C"/>
    <w:rsid w:val="00A94FB9"/>
    <w:rsid w:val="00AC0A7D"/>
    <w:rsid w:val="00AE1C3D"/>
    <w:rsid w:val="00AF3218"/>
    <w:rsid w:val="00B03D1C"/>
    <w:rsid w:val="00B07357"/>
    <w:rsid w:val="00B247A3"/>
    <w:rsid w:val="00B276B7"/>
    <w:rsid w:val="00B35F4F"/>
    <w:rsid w:val="00B5446F"/>
    <w:rsid w:val="00B5465D"/>
    <w:rsid w:val="00B6288C"/>
    <w:rsid w:val="00B87DEE"/>
    <w:rsid w:val="00BB0953"/>
    <w:rsid w:val="00BE054D"/>
    <w:rsid w:val="00C040AF"/>
    <w:rsid w:val="00C063C5"/>
    <w:rsid w:val="00C20000"/>
    <w:rsid w:val="00C21411"/>
    <w:rsid w:val="00C64456"/>
    <w:rsid w:val="00C73710"/>
    <w:rsid w:val="00C77BE8"/>
    <w:rsid w:val="00C931C6"/>
    <w:rsid w:val="00C96A92"/>
    <w:rsid w:val="00CB02C0"/>
    <w:rsid w:val="00CF710C"/>
    <w:rsid w:val="00D04D72"/>
    <w:rsid w:val="00D13033"/>
    <w:rsid w:val="00D14BF6"/>
    <w:rsid w:val="00D34761"/>
    <w:rsid w:val="00D52A73"/>
    <w:rsid w:val="00D62AE2"/>
    <w:rsid w:val="00D63158"/>
    <w:rsid w:val="00D92127"/>
    <w:rsid w:val="00D973A8"/>
    <w:rsid w:val="00DB1204"/>
    <w:rsid w:val="00DB4C69"/>
    <w:rsid w:val="00DC3AE0"/>
    <w:rsid w:val="00DC44E2"/>
    <w:rsid w:val="00DC45AF"/>
    <w:rsid w:val="00DD12D3"/>
    <w:rsid w:val="00E02D71"/>
    <w:rsid w:val="00E04BEC"/>
    <w:rsid w:val="00E0639D"/>
    <w:rsid w:val="00E20D34"/>
    <w:rsid w:val="00E855F1"/>
    <w:rsid w:val="00EA443F"/>
    <w:rsid w:val="00EC06BE"/>
    <w:rsid w:val="00EC19DE"/>
    <w:rsid w:val="00ED4D74"/>
    <w:rsid w:val="00EE72AB"/>
    <w:rsid w:val="00F42A8E"/>
    <w:rsid w:val="00F50F41"/>
    <w:rsid w:val="00F52F4E"/>
    <w:rsid w:val="00F65168"/>
    <w:rsid w:val="00F74C1B"/>
    <w:rsid w:val="00F83D1E"/>
    <w:rsid w:val="00F87B7F"/>
    <w:rsid w:val="00F9538B"/>
    <w:rsid w:val="00F96F49"/>
    <w:rsid w:val="00FC2211"/>
    <w:rsid w:val="00FD00BF"/>
    <w:rsid w:val="00FD0823"/>
    <w:rsid w:val="00FE036E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9BB39"/>
  <w15:docId w15:val="{677BFED6-B0A5-4AF8-83ED-BC93B50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D00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1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F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4740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B1204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6B07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07B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07B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0F35EC"/>
  </w:style>
  <w:style w:type="paragraph" w:styleId="Nagwek">
    <w:name w:val="header"/>
    <w:basedOn w:val="Normalny"/>
    <w:link w:val="NagwekZnak"/>
    <w:uiPriority w:val="99"/>
    <w:unhideWhenUsed/>
    <w:rsid w:val="00FD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823"/>
  </w:style>
  <w:style w:type="paragraph" w:styleId="Stopka">
    <w:name w:val="footer"/>
    <w:basedOn w:val="Normalny"/>
    <w:link w:val="StopkaZnak"/>
    <w:uiPriority w:val="99"/>
    <w:unhideWhenUsed/>
    <w:rsid w:val="00FD08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gdpojezierzebrodnickie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iuro@lgdpojezierzebrodnicki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0248C-8780-4067-BDD6-B9B2C3ED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2330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LGD Brodnica Komputer 3</cp:lastModifiedBy>
  <cp:revision>24</cp:revision>
  <cp:lastPrinted>2024-12-06T06:53:00Z</cp:lastPrinted>
  <dcterms:created xsi:type="dcterms:W3CDTF">2025-01-02T12:49:00Z</dcterms:created>
  <dcterms:modified xsi:type="dcterms:W3CDTF">2025-03-17T07:01:00Z</dcterms:modified>
</cp:coreProperties>
</file>