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F5" w:rsidRDefault="002766F5" w:rsidP="00D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6F5" w:rsidRDefault="00E51C51" w:rsidP="00E5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54811264" wp14:editId="76AB633C">
            <wp:extent cx="5761355" cy="5911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615" w:rsidRPr="00DC0F15" w:rsidRDefault="00B619F8" w:rsidP="00481615">
      <w:pPr>
        <w:spacing w:after="0" w:line="240" w:lineRule="auto"/>
        <w:rPr>
          <w:rFonts w:eastAsia="Times New Roman" w:cs="Times New Roman"/>
          <w:lang w:eastAsia="pl-PL"/>
        </w:rPr>
      </w:pPr>
      <w:r w:rsidRPr="00B619F8">
        <w:rPr>
          <w:rFonts w:eastAsia="Times New Roman" w:cs="Times New Roman"/>
          <w:lang w:eastAsia="pl-PL"/>
        </w:rPr>
        <w:t xml:space="preserve">Załącznik nr 10 </w:t>
      </w:r>
      <w:r w:rsidR="004D084A">
        <w:rPr>
          <w:rFonts w:eastAsia="Times New Roman" w:cs="Times New Roman"/>
          <w:lang w:eastAsia="pl-PL"/>
        </w:rPr>
        <w:t>Wzór</w:t>
      </w:r>
      <w:r w:rsidRPr="00B619F8">
        <w:rPr>
          <w:rFonts w:eastAsia="Times New Roman" w:cs="Times New Roman"/>
          <w:lang w:eastAsia="pl-PL"/>
        </w:rPr>
        <w:t xml:space="preserve"> Kart</w:t>
      </w:r>
      <w:r w:rsidR="004D084A">
        <w:rPr>
          <w:rFonts w:eastAsia="Times New Roman" w:cs="Times New Roman"/>
          <w:lang w:eastAsia="pl-PL"/>
        </w:rPr>
        <w:t>y</w:t>
      </w:r>
      <w:bookmarkStart w:id="0" w:name="_GoBack"/>
      <w:bookmarkEnd w:id="0"/>
      <w:r w:rsidRPr="00B619F8">
        <w:rPr>
          <w:rFonts w:eastAsia="Times New Roman" w:cs="Times New Roman"/>
          <w:lang w:eastAsia="pl-PL"/>
        </w:rPr>
        <w:t xml:space="preserve"> oceny projektu wg lokalnych kryteriów wyboru</w:t>
      </w:r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</w:p>
    <w:p w:rsidR="00481615" w:rsidRPr="00481615" w:rsidRDefault="00481615" w:rsidP="00481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F14E2" w:rsidRPr="009F14E2" w:rsidRDefault="00DB24A0" w:rsidP="009F14E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oceny i wyboru projektów</w:t>
      </w:r>
      <w:r w:rsidR="008F4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według lokalnych kryteriów wyboru realizowana przez Stowarzyszenie „Lokalna Grupa Działania Po</w:t>
      </w:r>
      <w:r w:rsidR="0027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jezierze Brodnickie”</w:t>
      </w:r>
      <w:r w:rsidR="0000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EFS dla osi 11, działanie 11</w:t>
      </w:r>
      <w:r w:rsidR="00E76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.1: </w:t>
      </w:r>
      <w:r w:rsidR="009F1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Włączenie społeczne na obszarach objętych LSR 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objętego 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Regionalny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Operacyjny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Województwa Kujawsko-Pomorskiego na lata 2014 - 2020</w:t>
      </w:r>
      <w:r w:rsidR="008F4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przedsięwzięcia w ramach LSR:</w:t>
      </w:r>
      <w:r w:rsidR="008F447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376F" w:rsidRPr="009F14E2" w:rsidRDefault="00D7376F" w:rsidP="00D7376F">
      <w:pPr>
        <w:pStyle w:val="Default"/>
        <w:rPr>
          <w:rFonts w:ascii="Times New Roman" w:hAnsi="Times New Roman" w:cs="Times New Roman"/>
          <w:b/>
        </w:rPr>
      </w:pPr>
      <w:r w:rsidRPr="009F14E2">
        <w:rPr>
          <w:rFonts w:ascii="Times New Roman" w:hAnsi="Times New Roman" w:cs="Times New Roman"/>
          <w:b/>
        </w:rPr>
        <w:t>Działania</w:t>
      </w:r>
      <w:r w:rsidR="009F14E2" w:rsidRPr="009F14E2">
        <w:rPr>
          <w:b/>
          <w:sz w:val="22"/>
          <w:szCs w:val="22"/>
        </w:rPr>
        <w:t>na rzecz osób zagrożonych ubóstwem lub wykluczeniem społecznym, w zakresie wdrożenia rozwiązań z obszaru aktywnej integracji o charakterze środowiskowym oraz wspierające rozwiązania w zakresie organizowania społeczności lokalnej i animacji społecznej</w:t>
      </w:r>
      <w:r w:rsidR="009F14E2">
        <w:rPr>
          <w:b/>
          <w:sz w:val="22"/>
          <w:szCs w:val="22"/>
        </w:rPr>
        <w:t>.</w:t>
      </w:r>
    </w:p>
    <w:p w:rsidR="00481615" w:rsidRPr="00481615" w:rsidRDefault="00481615" w:rsidP="0048161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1615" w:rsidRPr="00481615" w:rsidRDefault="00481615" w:rsidP="0048161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identyfikacyjne:</w:t>
      </w: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44"/>
        <w:gridCol w:w="8220"/>
      </w:tblGrid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Dane identyfikacyjne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Dane identyfikacyjne</w:t>
            </w: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Numer konkursu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Numer wniosku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Data wpływu wniosku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Nazwa wnioskodawcy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F81C3A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C3A">
              <w:rPr>
                <w:rFonts w:ascii="Times New Roman" w:eastAsia="Times New Roman" w:hAnsi="Times New Roman" w:cs="Times New Roman"/>
                <w:sz w:val="24"/>
                <w:szCs w:val="24"/>
              </w:rPr>
              <w:t>Numer identyfikacyjny wnioskodawcy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NIP wnioskodawcy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Tytuł operacji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Miejsce realizacji operacji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Oceniający / członek Rady /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81615" w:rsidRPr="00481615" w:rsidRDefault="00481615" w:rsidP="0048161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0D63" w:rsidRPr="00AC20E0" w:rsidRDefault="00481615" w:rsidP="00AC20E0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 kryteria wyboru:</w:t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73"/>
        <w:gridCol w:w="4052"/>
        <w:gridCol w:w="2835"/>
        <w:gridCol w:w="2410"/>
        <w:gridCol w:w="2004"/>
      </w:tblGrid>
      <w:tr w:rsidR="00580D63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Rodzaj kryterium wyboru </w:t>
            </w:r>
            <w:r w:rsidR="00DB2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6263D6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440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DB24A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Projekt</w:t>
            </w:r>
            <w:r w:rsidR="00580D63" w:rsidRPr="0062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ma charakter innowacyjny.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Przez innowacyjność rozumie się wdrożenie nowych na obszarze LSR Stowarzyszenia „Lokalna Grupa Działania Pojezierze Brodnickie” usług, procesów lub organizacji lub nowego sposobu wykorzystania lokalnych zasobów przyrodniczych, 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historycznych, kulturowych lub społecznych.</w:t>
            </w:r>
          </w:p>
          <w:p w:rsidR="00580D63" w:rsidRPr="006263D6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Kryterium punk</w:t>
            </w:r>
            <w:r w:rsidR="00DB24A0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towane będzie jeśli w planowanym projekcie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będzie zawarty przynajmniej jeden z wymienionych elementów  innowacyjności. </w:t>
            </w:r>
          </w:p>
          <w:p w:rsidR="00580D63" w:rsidRPr="006263D6" w:rsidRDefault="00580D63" w:rsidP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Wnioskodawca wskazuje w oświadczeniu  (druk sporządzony przez LGD) które koszty z pozycji w zestawieniu</w:t>
            </w:r>
            <w:r w:rsidR="00DB24A0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rzeczowo – finansowym projektu 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dotyczą innowacyjności.</w:t>
            </w:r>
          </w:p>
          <w:p w:rsidR="004B1CC9" w:rsidRPr="006263D6" w:rsidRDefault="004B1CC9" w:rsidP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1"/>
                <w:lang w:eastAsia="ar-SA"/>
              </w:rPr>
              <w:t>Kryterium jest oceniane na podstawie subiektywnej opinii członka Rady.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projekt</w:t>
            </w:r>
            <w:r w:rsidR="00580D63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 charakter innowacyjny – </w:t>
            </w:r>
            <w:r w:rsidR="00580D63"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580D63" w:rsidRPr="006263D6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- projekt</w:t>
            </w:r>
            <w:r w:rsidR="00580D63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 ma charakteru innowacyjnego – </w:t>
            </w:r>
            <w:r w:rsidR="00580D63"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8E" w:rsidRPr="00F81C3A" w:rsidRDefault="00580D63" w:rsidP="00B77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7F8E"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dofinansowanie  i </w:t>
            </w:r>
            <w:r w:rsidR="00B77F8E" w:rsidRPr="00F81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oświadczenie – </w:t>
            </w:r>
            <w:r w:rsidR="00B77F8E" w:rsidRPr="00F8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E1</w:t>
            </w:r>
          </w:p>
          <w:p w:rsidR="00B77F8E" w:rsidRPr="00F81C3A" w:rsidRDefault="00B77F8E" w:rsidP="00B77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wnioskodawcy na druku sporządzonym przez LGD.</w:t>
            </w:r>
          </w:p>
          <w:p w:rsidR="00580D63" w:rsidRPr="006263D6" w:rsidRDefault="00580D63" w:rsidP="002E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Pr="006263D6" w:rsidRDefault="00580D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63D6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440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9108F4" w:rsidP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164D3E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nioskodawca posiada doświadczenie w realizacji projektów współfinansowanych ze źródeł publicznych na rzecz osób zagrożonych ubóstwem lub wykluczeniem społecznym.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7" w:rsidRPr="006263D6" w:rsidRDefault="009108F4" w:rsidP="000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ramach kryterium oceniane będzie doświadczenie wnioskodawcy w realizacji projektów współfinansowanych ze środków publicznych na rzecz osób zagrożonych ubóstwem lub wykluczeniem społecznym. </w:t>
            </w:r>
            <w:r w:rsidR="00064197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Należy udokumentować </w:t>
            </w:r>
          </w:p>
          <w:p w:rsidR="004B1CC9" w:rsidRPr="006263D6" w:rsidRDefault="009108F4" w:rsidP="00A06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co najmniej 2    tego typu projekt</w:t>
            </w:r>
            <w:r w:rsidR="00064197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y.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doświadczenie w realizacji      projektów ze współfinansowanych ze środków publicznych rozumie się w tym przypadku  projekty  które zostały w całości zakończone i rozliczone. W przypadku tego kryterium za środki publiczne uważa się środki pozyskane przez wnioskodawców z: budżetów jednostek samorządu terytorialnego oraz jednostek im podległych, budżetu Państwa, środków budżetu UE.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3" w:rsidRPr="006263D6" w:rsidRDefault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posiada doświadczenie 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108F4" w:rsidRPr="006263D6" w:rsidRDefault="00A06503" w:rsidP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- wnioskodawca nie posiada doświadczenia</w:t>
            </w:r>
            <w:r w:rsidR="009108F4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0D63" w:rsidRPr="006263D6" w:rsidRDefault="00580D63" w:rsidP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9108F4"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3" w:rsidRPr="006263D6" w:rsidRDefault="008901A4" w:rsidP="006E47A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dofinansowanie  </w:t>
            </w:r>
          </w:p>
          <w:p w:rsidR="00580D63" w:rsidRPr="006263D6" w:rsidRDefault="009108F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wykaz zrealizowanych projektów dołączone do wniosku o dofinansowanie. Kryterium spełnione w przypadku udokumentowania realizacji min. </w:t>
            </w:r>
            <w:r w:rsidR="00037D66">
              <w:rPr>
                <w:rFonts w:ascii="Times New Roman" w:eastAsia="Calibri" w:hAnsi="Times New Roman" w:cs="Times New Roman"/>
                <w:sz w:val="24"/>
                <w:szCs w:val="24"/>
              </w:rPr>
              <w:t>dwa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projektów na rzecz osób zagrożonych ubóstwem lub wykluczeniem społecznym.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Pr="006263D6" w:rsidRDefault="00580D6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3E12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2C3E12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Wskaźnik efektywności zatrudnieniowej w 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2">
              <w:rPr>
                <w:rFonts w:ascii="Times New Roman" w:eastAsia="Calibri" w:hAnsi="Times New Roman" w:cs="Times New Roman"/>
                <w:sz w:val="24"/>
                <w:szCs w:val="24"/>
              </w:rPr>
              <w:t>ramach grantu</w:t>
            </w:r>
            <w:r w:rsidR="00185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powyżej 30%.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Preferowane będą projekty o wyższym wskaźniku efektywności </w:t>
            </w:r>
          </w:p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zatrudnieniowej.</w:t>
            </w:r>
          </w:p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efektywność zatrudnieniowa w ramach grantu powyżej 30 % 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20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efektywność zatrudnieniowa w ramach grantu poniżej 30 % 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Typ wnioskodawcy.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Preferowane będą 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projekty  realizowane  przez  podmioty 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spoza sektora </w:t>
            </w:r>
            <w:r w:rsidR="00D26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finansów 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publiczn</w:t>
            </w:r>
            <w:r w:rsidR="00096BF0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="00D26F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spoza sektora publicznego – 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reprezentuje sektor 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publiczny –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91" w:rsidRPr="006263D6" w:rsidRDefault="00A315F5" w:rsidP="00A31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A" w:rsidRP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Komplementarność z </w:t>
            </w:r>
          </w:p>
          <w:p w:rsidR="007B7A91" w:rsidRPr="006263D6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działaniami osi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 się  projekty  powiązane  z  działaniami </w:t>
            </w:r>
          </w:p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wynikającymi  z  Gminnego/Lokalnego  Programu </w:t>
            </w:r>
          </w:p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Rewitalizacji finansowanego z EFRR.</w:t>
            </w:r>
          </w:p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Ocenie podlega czy projekt wykazuje powiązania działań </w:t>
            </w:r>
          </w:p>
          <w:p w:rsidR="007B7A91" w:rsidRPr="006263D6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miękkich planowanych w ramach osi 11 EFS z działaniami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Gminnego/Lokalnego   Programu   Rewitalizacji   w   co najmniej jednym z aspektów: społecznym, gospodarczym, fizycznym.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A" w:rsidRP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projekt komplementarny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EF6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A1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</w:p>
          <w:p w:rsid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projekt niekomplementarny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7B7A91" w:rsidRP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91" w:rsidRPr="006263D6" w:rsidRDefault="00D26F4B" w:rsidP="009C75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4676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B94676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900D93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>Wskaźnik efektywności społecznej powyżej powyżej 50 %.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3" w:rsidRPr="00900D93" w:rsidRDefault="00900D93" w:rsidP="00900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>Preferowane będą projekty o wyższym wskaźniku aktywizacji</w:t>
            </w:r>
          </w:p>
          <w:p w:rsidR="00B94676" w:rsidRPr="006263D6" w:rsidRDefault="00900D93" w:rsidP="00900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>społecznej. Liczba osób zagrożonych ubóstwem lub wykluczeniem społecznym, którzy dokonali postępu w procesie aktywizacji społeczno-  zatrudnieniowej i zmniejszenia dystansu do zatrudnienia lub podjęli dalszą aktywizację społeczną w formach przewidzianych dla wskaźnika aktywizacji społecznej.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zakładany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minimalny poziom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efektywności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społecznej powyżej 50 % </w:t>
            </w:r>
          </w:p>
          <w:p w:rsidR="00900D93" w:rsidRPr="00005CFB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2pkt.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zakładany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minimalny poziom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efektywności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społecznej  poniżej 50 % </w:t>
            </w:r>
          </w:p>
          <w:p w:rsidR="00B94676" w:rsidRPr="00005CFB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B94676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FE45FE">
        <w:trPr>
          <w:trHeight w:val="11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404E87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Promocja LGD i LSR.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Preferowane są projekty wpływające na zwiększenie rozpoznawalności obszaru LGD i wskazujące źródła finansowania działań.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Za formę promocji uważa się np. tablicę informacyjną, informacje na stronie internetowej, informacje prasowe, plakaty.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Kryterium uważa się za spełnione, jeżeli w ramach budżetu projektu ujęto koszty związane z promocją źródła finansowania działań z LGD i LSR.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co najmniej dwie różne formy promowania LGD i LSR </w:t>
            </w:r>
            <w:r w:rsidRPr="008F35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51DC9" w:rsidRPr="008F3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jedna forma promocji LGD i LSR, 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brak promocji LGD i LSR –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83215" w:rsidRPr="006263D6" w:rsidTr="002F50B0">
        <w:trPr>
          <w:trHeight w:val="7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Default="00483215" w:rsidP="00483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Pr="00AC20E0" w:rsidRDefault="00483215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>Budżet - niezbędność wydatków do realizacji zaplanowanych działań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9" w:rsidRDefault="00483215" w:rsidP="00483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wydatki wynikają bezpośrednio z opisanych działań oraz przyczyniają się do osiągnięcia </w:t>
            </w:r>
            <w:r w:rsidR="008179B9">
              <w:rPr>
                <w:rFonts w:ascii="Times New Roman" w:eastAsia="Calibri" w:hAnsi="Times New Roman" w:cs="Times New Roman"/>
                <w:sz w:val="24"/>
                <w:szCs w:val="24"/>
              </w:rPr>
              <w:t>wskaźników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projektu w sposób adekwatny i  efektywny,</w:t>
            </w:r>
          </w:p>
          <w:p w:rsidR="008179B9" w:rsidRDefault="008179B9" w:rsidP="002F50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</w:t>
            </w:r>
            <w:r w:rsidRPr="008179B9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wszystkie koszty są kwalifikowalne i racjonalne</w:t>
            </w:r>
          </w:p>
          <w:p w:rsidR="002F50B0" w:rsidRPr="00483215" w:rsidRDefault="002F50B0" w:rsidP="002F50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83215" w:rsidRDefault="00483215" w:rsidP="00483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wydatki są zgodne z aktualnymi</w:t>
            </w:r>
            <w:r w:rsidR="0081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>ytycznymi w zakresie</w:t>
            </w:r>
            <w:r w:rsidR="0081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kwalifikowalności wydatków w ramach Europejskiego Funduszu Rozwoju Regionalnego, Europejskiego Funduszu Społecznego oraz Funduszu Spójności na lata 2014-2020, </w:t>
            </w:r>
          </w:p>
          <w:p w:rsidR="00483215" w:rsidRPr="00483215" w:rsidRDefault="00483215" w:rsidP="00483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E4B3D">
              <w:rPr>
                <w:rFonts w:ascii="Times New Roman" w:eastAsia="Calibri" w:hAnsi="Times New Roman" w:cs="Times New Roman"/>
                <w:sz w:val="24"/>
                <w:szCs w:val="24"/>
              </w:rPr>
              <w:t>poprawność sporządzania budżetu</w:t>
            </w:r>
          </w:p>
          <w:p w:rsidR="002F50B0" w:rsidRDefault="00483215" w:rsidP="00AC2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>- koszty administracyjne są zgodne z katalogiem kosztów wskazanym w Zasadach udzielania wsparcia na projekty objęte grantem</w:t>
            </w:r>
            <w:r w:rsidR="008179B9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r w:rsidR="008179B9" w:rsidRPr="00012C13">
              <w:rPr>
                <w:rFonts w:ascii="Times New Roman" w:eastAsia="Calibri" w:hAnsi="Times New Roman" w:cs="Times New Roman"/>
                <w:szCs w:val="24"/>
              </w:rPr>
              <w:t>zostały zakwalifikowane  do prawidłowej kategorii</w:t>
            </w:r>
            <w:r w:rsidR="008179B9">
              <w:rPr>
                <w:rFonts w:ascii="Times New Roman" w:eastAsia="Calibri" w:hAnsi="Times New Roman" w:cs="Times New Roman"/>
                <w:szCs w:val="24"/>
              </w:rPr>
              <w:t>)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Koszty administracyjne nie 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mogą przekroczyć 20% grantu (dofinansowania). </w:t>
            </w:r>
          </w:p>
          <w:p w:rsidR="002F50B0" w:rsidRPr="002F50B0" w:rsidRDefault="002F50B0" w:rsidP="002F50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0B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Wszystkie wskazane powyżej kwestie oceniane są łączne.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9" w:rsidRDefault="008179B9" w:rsidP="00483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9B9" w:rsidRPr="008179B9" w:rsidRDefault="008179B9" w:rsidP="00817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Kryterium punktowe </w:t>
            </w:r>
            <w:r w:rsidRPr="00817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0 </w:t>
            </w:r>
            <w:r w:rsidRPr="008F35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– </w:t>
            </w:r>
            <w:r w:rsidR="00851DC9" w:rsidRPr="008F35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8F35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17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pkt.</w:t>
            </w:r>
          </w:p>
          <w:p w:rsidR="008179B9" w:rsidRPr="008179B9" w:rsidRDefault="008179B9" w:rsidP="008179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179B9" w:rsidRPr="008179B9" w:rsidRDefault="008179B9" w:rsidP="008179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F50B0" w:rsidRDefault="008A1712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Wszystkie wskazane powyżej kwestie oceniane są łącznie.</w:t>
            </w:r>
          </w:p>
          <w:p w:rsidR="002F50B0" w:rsidRDefault="002F50B0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F50B0" w:rsidRDefault="002F50B0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F50B0" w:rsidRDefault="002F50B0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179B9" w:rsidRPr="00AC20E0" w:rsidRDefault="008179B9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Kryterium punktowane na podstawie subiektywnej oceny członka Rady.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Pr="00AC20E0" w:rsidRDefault="00483215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na podstawie złożonej dokumentacji, w szczególności załącznika do wniosku o powierzenie grantu pn. „Budżet projektu”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Pr="006263D6" w:rsidRDefault="00483215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FE45FE">
        <w:trPr>
          <w:trHeight w:val="11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483215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AC20E0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Doradztwo biura LGD.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0" w:rsidRPr="00AC20E0" w:rsidRDefault="00AC20E0" w:rsidP="00AC2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Preferuje się  wnioskodawców korzystających z doradztwa pracowników biura LGD wówczas, gdy wnioskodawca osobiście lub przedstawiciel wnioskodawcy korzystał z doradztwa biura LGD w ramach danego naboru, którego dotyczy wniosek o dofinansowanie oraz wyłącznie wówczas, gdy doradztwo dotyczy</w:t>
            </w:r>
            <w:r w:rsidR="00D3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AC4" w:rsidRPr="00D3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przedmiotowego wniosku o dofinansowanie, co uwidocznione będzie na </w:t>
            </w: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karcie doradztwa LGD (weryfikacja na podstawie tytułu wniosku o dofinansowanie wskazanej w karcie doradztwa) przedmiotowego wniosku o dofinansowanie, co uwidocznione będzie na nie później niż 2 dni przed zakończeniem naboru wniosków.</w:t>
            </w:r>
          </w:p>
          <w:p w:rsidR="007B7A91" w:rsidRPr="006263D6" w:rsidRDefault="007B7A91" w:rsidP="00B94676">
            <w:pPr>
              <w:spacing w:after="0" w:line="240" w:lineRule="auto"/>
              <w:ind w:hanging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osobiście lub przedstawiciel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korzystał z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doradztwa LGD (wizyta w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biurze) na etapie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przygotowywania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ocenianego wniosku o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dofinansowanie – </w:t>
            </w: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7B7A91" w:rsidRPr="006263D6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brak takiego doradztwa – </w:t>
            </w: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oparciu o dokumentację, kart</w:t>
            </w:r>
            <w:r w:rsidR="00D26F4B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</w:p>
          <w:p w:rsidR="007B7A91" w:rsidRPr="006263D6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doradztwa biura LGD.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0765A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PUNKTÓW……….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 Miejscowość, data, czytelny podpis /</w:t>
      </w:r>
    </w:p>
    <w:p w:rsidR="0000765A" w:rsidRPr="008F35A6" w:rsidRDefault="0000765A" w:rsidP="0000765A">
      <w:pPr>
        <w:autoSpaceDE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65A" w:rsidRPr="008F35A6" w:rsidRDefault="0000765A" w:rsidP="00580D6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treść oświadczeń musi wynikać z zapisów we wniosku.</w:t>
      </w:r>
    </w:p>
    <w:p w:rsidR="00580D63" w:rsidRDefault="00580D63" w:rsidP="00580D6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Operacja jest wybrana, gdy uzyska </w:t>
      </w:r>
      <w:r w:rsidR="00341A09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B1CC9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40% punktów / tzn. </w:t>
      </w:r>
      <w:r w:rsidR="00362BA8"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296FCF"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/ z maksymalnej ilości</w:t>
      </w:r>
      <w:r w:rsidR="004B1CC9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wynoszącej </w:t>
      </w:r>
      <w:r w:rsidR="00362BA8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348" w:rsidRDefault="00D26348" w:rsidP="00580D6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348" w:rsidRPr="008F35A6" w:rsidRDefault="00D26348" w:rsidP="00580D6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OGÓLNA INSTRUKCJA WYPEŁNIANIA KARTY OCENY I WYBORU OPERACJI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765A" w:rsidRPr="008F35A6" w:rsidRDefault="0000765A" w:rsidP="0000765A">
      <w:pPr>
        <w:spacing w:after="0" w:line="20" w:lineRule="atLeast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Karta zawiera kilka części i przed wypełnieniem należy zapoznać się z zasadami dotyczącymi udzielania odpowiedzi na poszczególne elementy.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Członek Rady ma obowiązek dokonania dokładnej analizy każdego kryterium.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 analizie danego kryterium oceniający wpisuje ocenę w karcie oceny operacji wg lokalnych kryteriów wyboru.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Ocena nie może przekroczyć wartości maksymalnej określonej dla każdego kryterium w karcie oceny operacji wg lokalnych </w:t>
      </w:r>
    </w:p>
    <w:p w:rsidR="0000765A" w:rsidRPr="008F35A6" w:rsidRDefault="0000765A" w:rsidP="0000765A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kryteriów wyboru.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Punkty należy wpisywać czytelnie długopisem.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 każde z pytań umieszczonych w karcie należy udzielić tylko jednej odpowiedzi.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 karcie oceny operacji według lokalnych kryteriów wyboru po wstawieniu oceny dla danego kryterium, w kolumnie </w:t>
      </w:r>
    </w:p>
    <w:p w:rsidR="0000765A" w:rsidRPr="008F35A6" w:rsidRDefault="0000765A" w:rsidP="0000765A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należy czytelnie co najmniej trzema zdaniami uzasadnić przyznaną ocenę.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Na zakończenie oceny należy podsumować ilość przydzielonych punktów. 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Osoba oceniająca poprzez złożenie czytelnego podpisu poświadcza rzetelność i wiarygodność wykonanych czynności.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Członek Rady kartę wypełnia osobiście. 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Kartę wypełniać należy tylko niebieskim długopisem lub za pomocą pióra, dopuszcza się skreślenia jeśli będą zaparafowane. </w:t>
      </w:r>
    </w:p>
    <w:p w:rsidR="0000765A" w:rsidRPr="008F35A6" w:rsidRDefault="0000765A" w:rsidP="0000765A">
      <w:pPr>
        <w:spacing w:after="0" w:line="20" w:lineRule="atLeast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W przypadku wystąpienia błędów lub braków na karcie sekretarz wzywa członka Rady do uzupełnienia zapisów. Jeśli karta jest  </w:t>
      </w:r>
    </w:p>
    <w:p w:rsidR="0000765A" w:rsidRPr="008F35A6" w:rsidRDefault="0000765A" w:rsidP="0000765A">
      <w:pPr>
        <w:spacing w:after="0" w:line="20" w:lineRule="atLeast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oddana z błędami to taką kartę uznaje się za głos nieważny.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Podczas wypełniania karty nie wolno używać korektora lub innych narzędzi służących maskowaniu pierwotnych wpisów.</w:t>
      </w:r>
    </w:p>
    <w:p w:rsidR="00580D63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 zakończeniu oceny kartę należy przekazać Sekretarzowi Rady.</w:t>
      </w:r>
    </w:p>
    <w:p w:rsidR="00481615" w:rsidRPr="008F35A6" w:rsidRDefault="00481615" w:rsidP="0048161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C51" w:rsidRDefault="00E51C51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348" w:rsidRDefault="00D26348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348" w:rsidRDefault="00D26348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348" w:rsidRDefault="00D26348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348" w:rsidRDefault="00D26348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348" w:rsidRDefault="00D26348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C51" w:rsidRPr="00E51C51" w:rsidRDefault="00E51C51" w:rsidP="00E51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51C51" w:rsidRPr="00E51C51" w:rsidRDefault="00E51C51" w:rsidP="00E51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51C51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----------------------------------------------------------------------------------------------------------------</w:t>
      </w:r>
    </w:p>
    <w:p w:rsidR="00E51C51" w:rsidRPr="00E51C51" w:rsidRDefault="00E51C51" w:rsidP="00E51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51C5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</w:p>
    <w:p w:rsidR="00E51C51" w:rsidRPr="00E51C51" w:rsidRDefault="00E51C51" w:rsidP="00E51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51C5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75BD4E78" wp14:editId="7A785923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C5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:rsidR="00E51C51" w:rsidRPr="00E51C51" w:rsidRDefault="00E51C51" w:rsidP="00E51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E51C51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NIP 8741735934; e-mail: </w:t>
      </w:r>
      <w:hyperlink r:id="rId10" w:history="1">
        <w:r w:rsidRPr="00E51C51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  <w:lang w:val="en-US" w:eastAsia="zh-CN"/>
          </w:rPr>
          <w:t>lgdbrodnica@wp.pl</w:t>
        </w:r>
      </w:hyperlink>
      <w:r w:rsidRPr="00E51C51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; www.lgdpojezierzebrodnickie.pl </w:t>
      </w:r>
    </w:p>
    <w:p w:rsidR="00E51C51" w:rsidRPr="00E51C51" w:rsidRDefault="00E51C51" w:rsidP="00E51C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51C51" w:rsidRPr="00E51C51" w:rsidSect="00D26348">
      <w:headerReference w:type="default" r:id="rId11"/>
      <w:footerReference w:type="default" r:id="rId12"/>
      <w:pgSz w:w="16838" w:h="11906" w:orient="landscape"/>
      <w:pgMar w:top="-70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D9" w:rsidRDefault="00FF38D9" w:rsidP="00D8055C">
      <w:pPr>
        <w:spacing w:after="0" w:line="240" w:lineRule="auto"/>
      </w:pPr>
      <w:r>
        <w:separator/>
      </w:r>
    </w:p>
  </w:endnote>
  <w:endnote w:type="continuationSeparator" w:id="0">
    <w:p w:rsidR="00FF38D9" w:rsidRDefault="00FF38D9" w:rsidP="00D8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2A" w:rsidRDefault="00CF032A" w:rsidP="009A02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D9" w:rsidRDefault="00FF38D9" w:rsidP="00D8055C">
      <w:pPr>
        <w:spacing w:after="0" w:line="240" w:lineRule="auto"/>
      </w:pPr>
      <w:r>
        <w:separator/>
      </w:r>
    </w:p>
  </w:footnote>
  <w:footnote w:type="continuationSeparator" w:id="0">
    <w:p w:rsidR="00FF38D9" w:rsidRDefault="00FF38D9" w:rsidP="00D8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5C" w:rsidRDefault="00D8055C" w:rsidP="00D805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15"/>
    <w:rsid w:val="00002137"/>
    <w:rsid w:val="00005CFB"/>
    <w:rsid w:val="0000765A"/>
    <w:rsid w:val="000147E6"/>
    <w:rsid w:val="00032C89"/>
    <w:rsid w:val="00037D66"/>
    <w:rsid w:val="00042088"/>
    <w:rsid w:val="00046DC0"/>
    <w:rsid w:val="000502C5"/>
    <w:rsid w:val="00064197"/>
    <w:rsid w:val="000839E5"/>
    <w:rsid w:val="00084A3E"/>
    <w:rsid w:val="00087212"/>
    <w:rsid w:val="00090A13"/>
    <w:rsid w:val="00093016"/>
    <w:rsid w:val="0009553B"/>
    <w:rsid w:val="00096BF0"/>
    <w:rsid w:val="000B5605"/>
    <w:rsid w:val="000C1A60"/>
    <w:rsid w:val="000E52C0"/>
    <w:rsid w:val="000F1FC2"/>
    <w:rsid w:val="000F66B1"/>
    <w:rsid w:val="00107BE9"/>
    <w:rsid w:val="00112AFA"/>
    <w:rsid w:val="00115D6C"/>
    <w:rsid w:val="00117255"/>
    <w:rsid w:val="001403B2"/>
    <w:rsid w:val="001418C9"/>
    <w:rsid w:val="00146FB2"/>
    <w:rsid w:val="001510FA"/>
    <w:rsid w:val="00155292"/>
    <w:rsid w:val="00164D3E"/>
    <w:rsid w:val="001851A0"/>
    <w:rsid w:val="001A3C7E"/>
    <w:rsid w:val="001A7F02"/>
    <w:rsid w:val="001B2686"/>
    <w:rsid w:val="001C3791"/>
    <w:rsid w:val="001C5E23"/>
    <w:rsid w:val="001C6D18"/>
    <w:rsid w:val="001E5D8C"/>
    <w:rsid w:val="001F2331"/>
    <w:rsid w:val="001F2AED"/>
    <w:rsid w:val="001F382A"/>
    <w:rsid w:val="0021513B"/>
    <w:rsid w:val="00221CF8"/>
    <w:rsid w:val="00234DB7"/>
    <w:rsid w:val="00253404"/>
    <w:rsid w:val="00275E11"/>
    <w:rsid w:val="002766F5"/>
    <w:rsid w:val="00287D13"/>
    <w:rsid w:val="00287EC0"/>
    <w:rsid w:val="00291D06"/>
    <w:rsid w:val="00296FCF"/>
    <w:rsid w:val="002A75FD"/>
    <w:rsid w:val="002B3DFA"/>
    <w:rsid w:val="002B7923"/>
    <w:rsid w:val="002B7C57"/>
    <w:rsid w:val="002C1F93"/>
    <w:rsid w:val="002C3E12"/>
    <w:rsid w:val="002D4576"/>
    <w:rsid w:val="002E047A"/>
    <w:rsid w:val="002E1344"/>
    <w:rsid w:val="002E7EB2"/>
    <w:rsid w:val="002F2618"/>
    <w:rsid w:val="002F50B0"/>
    <w:rsid w:val="002F7389"/>
    <w:rsid w:val="00306933"/>
    <w:rsid w:val="00307D45"/>
    <w:rsid w:val="003141E0"/>
    <w:rsid w:val="00331B01"/>
    <w:rsid w:val="00341A09"/>
    <w:rsid w:val="0034278B"/>
    <w:rsid w:val="00345172"/>
    <w:rsid w:val="00362BA8"/>
    <w:rsid w:val="00372920"/>
    <w:rsid w:val="0037309A"/>
    <w:rsid w:val="0037345F"/>
    <w:rsid w:val="00374F61"/>
    <w:rsid w:val="00377FB0"/>
    <w:rsid w:val="003813C9"/>
    <w:rsid w:val="003D1AF3"/>
    <w:rsid w:val="003E6BD8"/>
    <w:rsid w:val="003F1E91"/>
    <w:rsid w:val="00404E87"/>
    <w:rsid w:val="00405B8F"/>
    <w:rsid w:val="00407B9A"/>
    <w:rsid w:val="004117A7"/>
    <w:rsid w:val="00412447"/>
    <w:rsid w:val="00420096"/>
    <w:rsid w:val="004261A5"/>
    <w:rsid w:val="004348C1"/>
    <w:rsid w:val="00440CF0"/>
    <w:rsid w:val="00447DE7"/>
    <w:rsid w:val="00452E5E"/>
    <w:rsid w:val="004657DE"/>
    <w:rsid w:val="00467676"/>
    <w:rsid w:val="00472EFB"/>
    <w:rsid w:val="00481615"/>
    <w:rsid w:val="00483215"/>
    <w:rsid w:val="004A1078"/>
    <w:rsid w:val="004B1CC9"/>
    <w:rsid w:val="004C10E9"/>
    <w:rsid w:val="004C4F2B"/>
    <w:rsid w:val="004D084A"/>
    <w:rsid w:val="004E297F"/>
    <w:rsid w:val="00537C60"/>
    <w:rsid w:val="00553AA0"/>
    <w:rsid w:val="00557C36"/>
    <w:rsid w:val="005647DB"/>
    <w:rsid w:val="00580D63"/>
    <w:rsid w:val="00590A93"/>
    <w:rsid w:val="005A3AA7"/>
    <w:rsid w:val="005A4AFA"/>
    <w:rsid w:val="005B641A"/>
    <w:rsid w:val="005C0314"/>
    <w:rsid w:val="005C2580"/>
    <w:rsid w:val="005D4B62"/>
    <w:rsid w:val="005D4F64"/>
    <w:rsid w:val="005D6AED"/>
    <w:rsid w:val="00601F5E"/>
    <w:rsid w:val="006214DC"/>
    <w:rsid w:val="006263D6"/>
    <w:rsid w:val="006704DB"/>
    <w:rsid w:val="00674D16"/>
    <w:rsid w:val="006765AD"/>
    <w:rsid w:val="00687EAA"/>
    <w:rsid w:val="00692385"/>
    <w:rsid w:val="006A4BCC"/>
    <w:rsid w:val="006D2155"/>
    <w:rsid w:val="006E47A3"/>
    <w:rsid w:val="00722111"/>
    <w:rsid w:val="0072272E"/>
    <w:rsid w:val="00724B36"/>
    <w:rsid w:val="00756944"/>
    <w:rsid w:val="00765B18"/>
    <w:rsid w:val="00794BB9"/>
    <w:rsid w:val="007A0FBF"/>
    <w:rsid w:val="007A4FA3"/>
    <w:rsid w:val="007B1F96"/>
    <w:rsid w:val="007B7A91"/>
    <w:rsid w:val="007C31DB"/>
    <w:rsid w:val="007E00FF"/>
    <w:rsid w:val="007E1110"/>
    <w:rsid w:val="008179B9"/>
    <w:rsid w:val="00820812"/>
    <w:rsid w:val="008351EA"/>
    <w:rsid w:val="0085143B"/>
    <w:rsid w:val="00851DC9"/>
    <w:rsid w:val="00865453"/>
    <w:rsid w:val="00867A29"/>
    <w:rsid w:val="00872185"/>
    <w:rsid w:val="0088074C"/>
    <w:rsid w:val="00880B34"/>
    <w:rsid w:val="008901A4"/>
    <w:rsid w:val="0089218C"/>
    <w:rsid w:val="008A1712"/>
    <w:rsid w:val="008A5299"/>
    <w:rsid w:val="008A746F"/>
    <w:rsid w:val="008A783A"/>
    <w:rsid w:val="008C7A20"/>
    <w:rsid w:val="008E5EC4"/>
    <w:rsid w:val="008E6862"/>
    <w:rsid w:val="008E7DB9"/>
    <w:rsid w:val="008F35A6"/>
    <w:rsid w:val="008F4479"/>
    <w:rsid w:val="00900D93"/>
    <w:rsid w:val="009108F4"/>
    <w:rsid w:val="00914A9B"/>
    <w:rsid w:val="00943C76"/>
    <w:rsid w:val="00996839"/>
    <w:rsid w:val="009A026E"/>
    <w:rsid w:val="009A185A"/>
    <w:rsid w:val="009A3266"/>
    <w:rsid w:val="009A42B6"/>
    <w:rsid w:val="009B7409"/>
    <w:rsid w:val="009C75A8"/>
    <w:rsid w:val="009E0B27"/>
    <w:rsid w:val="009E1AC9"/>
    <w:rsid w:val="009E6D21"/>
    <w:rsid w:val="009F14E2"/>
    <w:rsid w:val="009F55B4"/>
    <w:rsid w:val="009F61AD"/>
    <w:rsid w:val="009F7FD4"/>
    <w:rsid w:val="00A06503"/>
    <w:rsid w:val="00A30D7B"/>
    <w:rsid w:val="00A315F5"/>
    <w:rsid w:val="00A51D32"/>
    <w:rsid w:val="00A84AB7"/>
    <w:rsid w:val="00A97921"/>
    <w:rsid w:val="00AA0BF9"/>
    <w:rsid w:val="00AA688B"/>
    <w:rsid w:val="00AC20E0"/>
    <w:rsid w:val="00AD2226"/>
    <w:rsid w:val="00AE6C5C"/>
    <w:rsid w:val="00AE7979"/>
    <w:rsid w:val="00AF0BB9"/>
    <w:rsid w:val="00AF7F8C"/>
    <w:rsid w:val="00B06721"/>
    <w:rsid w:val="00B11D1B"/>
    <w:rsid w:val="00B32110"/>
    <w:rsid w:val="00B40DA8"/>
    <w:rsid w:val="00B619F8"/>
    <w:rsid w:val="00B770FA"/>
    <w:rsid w:val="00B77F8E"/>
    <w:rsid w:val="00B81F18"/>
    <w:rsid w:val="00B9319C"/>
    <w:rsid w:val="00B94676"/>
    <w:rsid w:val="00BA7030"/>
    <w:rsid w:val="00BB2D18"/>
    <w:rsid w:val="00BE112F"/>
    <w:rsid w:val="00C05AFF"/>
    <w:rsid w:val="00C11F15"/>
    <w:rsid w:val="00C25E75"/>
    <w:rsid w:val="00C30597"/>
    <w:rsid w:val="00C50C51"/>
    <w:rsid w:val="00C52527"/>
    <w:rsid w:val="00C55714"/>
    <w:rsid w:val="00C60370"/>
    <w:rsid w:val="00C74F9F"/>
    <w:rsid w:val="00C77160"/>
    <w:rsid w:val="00C863CA"/>
    <w:rsid w:val="00C8696E"/>
    <w:rsid w:val="00C97AFD"/>
    <w:rsid w:val="00CA075A"/>
    <w:rsid w:val="00CB0F0B"/>
    <w:rsid w:val="00CF032A"/>
    <w:rsid w:val="00CF4309"/>
    <w:rsid w:val="00D0163B"/>
    <w:rsid w:val="00D022EC"/>
    <w:rsid w:val="00D26348"/>
    <w:rsid w:val="00D2647B"/>
    <w:rsid w:val="00D26F4B"/>
    <w:rsid w:val="00D27E86"/>
    <w:rsid w:val="00D35AC4"/>
    <w:rsid w:val="00D55B13"/>
    <w:rsid w:val="00D5714A"/>
    <w:rsid w:val="00D57F46"/>
    <w:rsid w:val="00D6018F"/>
    <w:rsid w:val="00D61997"/>
    <w:rsid w:val="00D632A8"/>
    <w:rsid w:val="00D7357E"/>
    <w:rsid w:val="00D7376F"/>
    <w:rsid w:val="00D76F32"/>
    <w:rsid w:val="00D8055C"/>
    <w:rsid w:val="00D86AFE"/>
    <w:rsid w:val="00DB07A2"/>
    <w:rsid w:val="00DB24A0"/>
    <w:rsid w:val="00DC0F15"/>
    <w:rsid w:val="00DF4AFF"/>
    <w:rsid w:val="00DF596F"/>
    <w:rsid w:val="00DF7D55"/>
    <w:rsid w:val="00E114D2"/>
    <w:rsid w:val="00E468CB"/>
    <w:rsid w:val="00E504A1"/>
    <w:rsid w:val="00E51C51"/>
    <w:rsid w:val="00E76845"/>
    <w:rsid w:val="00E80E5E"/>
    <w:rsid w:val="00E816F6"/>
    <w:rsid w:val="00E8347F"/>
    <w:rsid w:val="00EA6340"/>
    <w:rsid w:val="00EC2D33"/>
    <w:rsid w:val="00ED6665"/>
    <w:rsid w:val="00EF6573"/>
    <w:rsid w:val="00F10D60"/>
    <w:rsid w:val="00F124C2"/>
    <w:rsid w:val="00F15BF9"/>
    <w:rsid w:val="00F23585"/>
    <w:rsid w:val="00F261E9"/>
    <w:rsid w:val="00F27B65"/>
    <w:rsid w:val="00F438E8"/>
    <w:rsid w:val="00F72A37"/>
    <w:rsid w:val="00F73D97"/>
    <w:rsid w:val="00F81C3A"/>
    <w:rsid w:val="00F87A7C"/>
    <w:rsid w:val="00F961C3"/>
    <w:rsid w:val="00FA07C3"/>
    <w:rsid w:val="00FA407E"/>
    <w:rsid w:val="00FE1190"/>
    <w:rsid w:val="00FE45FE"/>
    <w:rsid w:val="00FE4B3D"/>
    <w:rsid w:val="00FE76CB"/>
    <w:rsid w:val="00FF1DB4"/>
    <w:rsid w:val="00FF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6531"/>
  <w15:docId w15:val="{1B5DACC5-6EC0-475F-A64D-C456254C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1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5C"/>
  </w:style>
  <w:style w:type="paragraph" w:styleId="Stopka">
    <w:name w:val="footer"/>
    <w:basedOn w:val="Normalny"/>
    <w:link w:val="StopkaZnak"/>
    <w:uiPriority w:val="99"/>
    <w:unhideWhenUsed/>
    <w:rsid w:val="00D8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5C"/>
  </w:style>
  <w:style w:type="character" w:styleId="Odwoaniedokomentarza">
    <w:name w:val="annotation reference"/>
    <w:basedOn w:val="Domylnaczcionkaakapitu"/>
    <w:uiPriority w:val="99"/>
    <w:semiHidden/>
    <w:unhideWhenUsed/>
    <w:rsid w:val="00087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21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0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gdbrodnica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46685-B6F8-49EA-BCD3-2BDEFAE4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2017-12-28T06:03:00Z</cp:lastPrinted>
  <dcterms:created xsi:type="dcterms:W3CDTF">2018-09-18T05:51:00Z</dcterms:created>
  <dcterms:modified xsi:type="dcterms:W3CDTF">2020-02-20T12:05:00Z</dcterms:modified>
</cp:coreProperties>
</file>